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B0E5" w14:textId="77777777" w:rsidR="00A64D56" w:rsidRDefault="00A64D56" w:rsidP="379C0A37">
      <w:pPr>
        <w:pStyle w:val="Heading1"/>
        <w:spacing w:before="0"/>
        <w:jc w:val="center"/>
        <w:rPr>
          <w:rStyle w:val="IntenseEmphasis"/>
          <w:i w:val="0"/>
          <w:iCs w:val="0"/>
          <w:color w:val="2F5496" w:themeColor="accent1" w:themeShade="BF"/>
        </w:rPr>
      </w:pPr>
      <w:r>
        <w:rPr>
          <w:rStyle w:val="IntenseEmphasis"/>
          <w:i w:val="0"/>
          <w:iCs w:val="0"/>
          <w:color w:val="2F5496" w:themeColor="accent1" w:themeShade="BF"/>
        </w:rPr>
        <w:t>3</w:t>
      </w:r>
      <w:r>
        <w:rPr>
          <w:rStyle w:val="IntenseEmphasis"/>
          <w:i w:val="0"/>
          <w:iCs w:val="0"/>
          <w:color w:val="2F5496" w:themeColor="accent1" w:themeShade="BF"/>
          <w:vertAlign w:val="superscript"/>
        </w:rPr>
        <w:t>e</w:t>
      </w:r>
      <w:r>
        <w:rPr>
          <w:rStyle w:val="IntenseEmphasis"/>
          <w:i w:val="0"/>
          <w:iCs w:val="0"/>
          <w:color w:val="2F5496" w:themeColor="accent1" w:themeShade="BF"/>
        </w:rPr>
        <w:t xml:space="preserve"> cycle de programmation du Fonds</w:t>
      </w:r>
    </w:p>
    <w:p w14:paraId="425EC0DB" w14:textId="518A3CBD" w:rsidR="00A64D56" w:rsidRDefault="006064BF" w:rsidP="379C0A37">
      <w:pPr>
        <w:pStyle w:val="Heading1"/>
        <w:spacing w:before="0"/>
        <w:jc w:val="center"/>
        <w:rPr>
          <w:rFonts w:cstheme="minorBidi"/>
        </w:rPr>
      </w:pPr>
      <w:r>
        <w:rPr>
          <w:rStyle w:val="IntenseEmphasis"/>
          <w:i w:val="0"/>
          <w:iCs w:val="0"/>
          <w:color w:val="2F5496" w:themeColor="accent1" w:themeShade="BF"/>
        </w:rPr>
        <w:t xml:space="preserve">Fiche explicative : </w:t>
      </w:r>
      <w:r>
        <w:t>Modèle d</w:t>
      </w:r>
      <w:r w:rsidR="002929DD">
        <w:t>’</w:t>
      </w:r>
      <w:r>
        <w:t>évaluation des risques</w:t>
      </w:r>
    </w:p>
    <w:p w14:paraId="217E571D" w14:textId="77777777" w:rsidR="00207623" w:rsidRPr="00207623" w:rsidRDefault="00207623" w:rsidP="00207623">
      <w:pPr>
        <w:spacing w:after="0"/>
      </w:pPr>
    </w:p>
    <w:p w14:paraId="5234C4D3" w14:textId="1CE3C138" w:rsidR="00656441" w:rsidRPr="00A816C3" w:rsidRDefault="00656441" w:rsidP="00656441">
      <w:pPr>
        <w:jc w:val="both"/>
        <w:rPr>
          <w:rFonts w:cstheme="minorHAnsi"/>
          <w:color w:val="0D0D0D"/>
          <w:shd w:val="clear" w:color="auto" w:fill="FFFFFF"/>
        </w:rPr>
      </w:pPr>
      <w:r>
        <w:rPr>
          <w:color w:val="0D0D0D"/>
          <w:shd w:val="clear" w:color="auto" w:fill="FFFFFF"/>
        </w:rPr>
        <w:t>Tous les documents de projet soumis au Fonds doivent intégrer une évaluation des risques du projet ; celle-ci doit être conduite à l</w:t>
      </w:r>
      <w:r w:rsidR="002929DD">
        <w:rPr>
          <w:color w:val="0D0D0D"/>
          <w:shd w:val="clear" w:color="auto" w:fill="FFFFFF"/>
        </w:rPr>
        <w:t>’</w:t>
      </w:r>
      <w:r>
        <w:rPr>
          <w:color w:val="0D0D0D"/>
          <w:shd w:val="clear" w:color="auto" w:fill="FFFFFF"/>
        </w:rPr>
        <w:t>aide du modèle d</w:t>
      </w:r>
      <w:r w:rsidR="002929DD">
        <w:rPr>
          <w:color w:val="0D0D0D"/>
          <w:shd w:val="clear" w:color="auto" w:fill="FFFFFF"/>
        </w:rPr>
        <w:t>’</w:t>
      </w:r>
      <w:r>
        <w:rPr>
          <w:color w:val="0D0D0D"/>
          <w:shd w:val="clear" w:color="auto" w:fill="FFFFFF"/>
        </w:rPr>
        <w:t>évaluation des risques fourni par le Fonds.</w:t>
      </w:r>
    </w:p>
    <w:p w14:paraId="5FC70E3C" w14:textId="055728D5" w:rsidR="00B76A02" w:rsidRPr="00A816C3" w:rsidRDefault="00B76A02" w:rsidP="00723702">
      <w:pPr>
        <w:pStyle w:val="Heading2"/>
        <w:rPr>
          <w:rStyle w:val="IntenseEmphasis"/>
          <w:rFonts w:asciiTheme="minorHAnsi" w:hAnsiTheme="minorHAnsi" w:cstheme="minorHAnsi"/>
          <w:b/>
          <w:bCs/>
          <w:sz w:val="22"/>
          <w:szCs w:val="22"/>
          <w:u w:val="single"/>
        </w:rPr>
      </w:pPr>
      <w:r>
        <w:rPr>
          <w:rStyle w:val="IntenseEmphasis"/>
          <w:b/>
          <w:bCs/>
          <w:u w:val="single"/>
        </w:rPr>
        <w:t>Introduction</w:t>
      </w:r>
    </w:p>
    <w:p w14:paraId="1161D214" w14:textId="63C218B1" w:rsidR="00937D57" w:rsidRDefault="00AC6B09" w:rsidP="2890D612">
      <w:pPr>
        <w:jc w:val="both"/>
      </w:pPr>
      <w:r>
        <w:t>L</w:t>
      </w:r>
      <w:r w:rsidR="002929DD">
        <w:t>’</w:t>
      </w:r>
      <w:r>
        <w:t>évaluation des risques est un outil indispensable en gestion de projet. Celle-ci offre une approche systématique et structurée visant à recenser, évaluer et gérer les risques pouvant influer sur la bonne mise en œuvre de votre projet et de vos activités. La conduite d</w:t>
      </w:r>
      <w:r w:rsidR="002929DD">
        <w:t>’</w:t>
      </w:r>
      <w:r>
        <w:t>une évaluation des risques implique d</w:t>
      </w:r>
      <w:r w:rsidR="002929DD">
        <w:t>’</w:t>
      </w:r>
      <w:r>
        <w:t>analyser les facteurs d</w:t>
      </w:r>
      <w:r w:rsidR="002929DD">
        <w:t>’</w:t>
      </w:r>
      <w:r>
        <w:t>incertitude et de vulnérabilité</w:t>
      </w:r>
      <w:r w:rsidR="6FE29F34">
        <w:t xml:space="preserve"> aux risques</w:t>
      </w:r>
      <w:r>
        <w:t>, de déterminer leur probabilité et leurs conséquences potentielles, et d</w:t>
      </w:r>
      <w:r w:rsidR="002929DD">
        <w:t>’</w:t>
      </w:r>
      <w:r>
        <w:t>élaborer des stratégies afin d</w:t>
      </w:r>
      <w:r w:rsidR="002929DD">
        <w:t>’</w:t>
      </w:r>
      <w:r>
        <w:t>atténuer ou de gérer ces risques de façon efficace.</w:t>
      </w:r>
    </w:p>
    <w:p w14:paraId="2C656B0E" w14:textId="315DDF34" w:rsidR="00E376C8" w:rsidRPr="00A816C3" w:rsidRDefault="00E376C8" w:rsidP="00E376C8">
      <w:pPr>
        <w:jc w:val="both"/>
        <w:rPr>
          <w:rFonts w:cstheme="minorHAnsi"/>
          <w:color w:val="0D0D0D"/>
          <w:shd w:val="clear" w:color="auto" w:fill="FFFFFF"/>
        </w:rPr>
      </w:pPr>
      <w:r>
        <w:rPr>
          <w:color w:val="0D0D0D"/>
          <w:shd w:val="clear" w:color="auto" w:fill="FFFFFF"/>
        </w:rPr>
        <w:t>Une évaluation des risques bien documentée facilite la communication entre les membres de l</w:t>
      </w:r>
      <w:r w:rsidR="002929DD">
        <w:rPr>
          <w:color w:val="0D0D0D"/>
          <w:shd w:val="clear" w:color="auto" w:fill="FFFFFF"/>
        </w:rPr>
        <w:t>’</w:t>
      </w:r>
      <w:r>
        <w:rPr>
          <w:color w:val="0D0D0D"/>
          <w:shd w:val="clear" w:color="auto" w:fill="FFFFFF"/>
        </w:rPr>
        <w:t>équipe, les parties prenantes et les autres parties concernées. Cela assure que tout un chacun soit informé des défis potentiels et des stratégies mises en place pour en limiter les effets. Une évaluation des risques méticuleuse permet aussi de prouver aux parties prenantes et aux donateurs que les préoccupations relatives aux incertitudes du projet ont bien été prises en compte et traitées.</w:t>
      </w:r>
    </w:p>
    <w:p w14:paraId="7177FE00" w14:textId="353166A6" w:rsidR="005A5613" w:rsidRDefault="007D7AE4" w:rsidP="379C0A37">
      <w:pPr>
        <w:jc w:val="both"/>
        <w:rPr>
          <w:color w:val="0D0D0D"/>
          <w:shd w:val="clear" w:color="auto" w:fill="FFFFFF"/>
        </w:rPr>
      </w:pPr>
      <w:r>
        <w:t>L</w:t>
      </w:r>
      <w:r w:rsidR="002929DD">
        <w:t>’</w:t>
      </w:r>
      <w:r>
        <w:t xml:space="preserve">évaluation des risques doit être menée </w:t>
      </w:r>
      <w:r>
        <w:rPr>
          <w:color w:val="0D0D0D"/>
          <w:shd w:val="clear" w:color="auto" w:fill="FFFFFF"/>
        </w:rPr>
        <w:t>au cours de la planification du projet, car elle permet l</w:t>
      </w:r>
      <w:r w:rsidR="002929DD">
        <w:rPr>
          <w:color w:val="0D0D0D"/>
          <w:shd w:val="clear" w:color="auto" w:fill="FFFFFF"/>
        </w:rPr>
        <w:t>’</w:t>
      </w:r>
      <w:r>
        <w:rPr>
          <w:color w:val="0D0D0D"/>
          <w:shd w:val="clear" w:color="auto" w:fill="FFFFFF"/>
        </w:rPr>
        <w:t>identification précoce de problèmes et défis potentiels. Cela facilite également l</w:t>
      </w:r>
      <w:r w:rsidR="002929DD">
        <w:rPr>
          <w:color w:val="0D0D0D"/>
          <w:shd w:val="clear" w:color="auto" w:fill="FFFFFF"/>
        </w:rPr>
        <w:t>’</w:t>
      </w:r>
      <w:r>
        <w:rPr>
          <w:color w:val="0D0D0D"/>
          <w:shd w:val="clear" w:color="auto" w:fill="FFFFFF"/>
        </w:rPr>
        <w:t xml:space="preserve">identification des ressources nécessaires pour faire face aux </w:t>
      </w:r>
      <w:proofErr w:type="gramStart"/>
      <w:r>
        <w:rPr>
          <w:color w:val="0D0D0D"/>
          <w:shd w:val="clear" w:color="auto" w:fill="FFFFFF"/>
        </w:rPr>
        <w:t>risques potentiels</w:t>
      </w:r>
      <w:proofErr w:type="gramEnd"/>
      <w:r>
        <w:rPr>
          <w:color w:val="0D0D0D"/>
          <w:shd w:val="clear" w:color="auto" w:fill="FFFFFF"/>
        </w:rPr>
        <w:t xml:space="preserve"> et assure que ces ressources s</w:t>
      </w:r>
      <w:r w:rsidR="002929DD">
        <w:rPr>
          <w:color w:val="0D0D0D"/>
          <w:shd w:val="clear" w:color="auto" w:fill="FFFFFF"/>
        </w:rPr>
        <w:t>er</w:t>
      </w:r>
      <w:r>
        <w:rPr>
          <w:color w:val="0D0D0D"/>
          <w:shd w:val="clear" w:color="auto" w:fill="FFFFFF"/>
        </w:rPr>
        <w:t>ont allouées de façon efficace et efficiente, tout en minimisant les conséquences d</w:t>
      </w:r>
      <w:r w:rsidR="002929DD">
        <w:rPr>
          <w:color w:val="0D0D0D"/>
          <w:shd w:val="clear" w:color="auto" w:fill="FFFFFF"/>
        </w:rPr>
        <w:t>’</w:t>
      </w:r>
      <w:r>
        <w:rPr>
          <w:color w:val="0D0D0D"/>
          <w:shd w:val="clear" w:color="auto" w:fill="FFFFFF"/>
        </w:rPr>
        <w:t xml:space="preserve">événements imprévus pouvant impacter sur le calendrier et le budget du projet. </w:t>
      </w:r>
    </w:p>
    <w:p w14:paraId="5B2453A8" w14:textId="0F6675F3" w:rsidR="7D410D18" w:rsidRDefault="005D0AF6" w:rsidP="379C0A37">
      <w:pPr>
        <w:jc w:val="both"/>
        <w:rPr>
          <w:color w:val="0D0D0D" w:themeColor="text1" w:themeTint="F2"/>
        </w:rPr>
      </w:pPr>
      <w:r>
        <w:rPr>
          <w:color w:val="0D0D0D"/>
          <w:shd w:val="clear" w:color="auto" w:fill="FFFFFF"/>
        </w:rPr>
        <w:t>L</w:t>
      </w:r>
      <w:r w:rsidR="002929DD">
        <w:rPr>
          <w:color w:val="0D0D0D"/>
          <w:shd w:val="clear" w:color="auto" w:fill="FFFFFF"/>
        </w:rPr>
        <w:t>’</w:t>
      </w:r>
      <w:r>
        <w:rPr>
          <w:color w:val="0D0D0D"/>
          <w:shd w:val="clear" w:color="auto" w:fill="FFFFFF"/>
        </w:rPr>
        <w:t>évaluation des risques</w:t>
      </w:r>
      <w:r>
        <w:rPr>
          <w:color w:val="0D0D0D" w:themeColor="text1" w:themeTint="F2"/>
        </w:rPr>
        <w:t xml:space="preserve"> d</w:t>
      </w:r>
      <w:r w:rsidR="002929DD">
        <w:rPr>
          <w:color w:val="0D0D0D" w:themeColor="text1" w:themeTint="F2"/>
        </w:rPr>
        <w:t>’</w:t>
      </w:r>
      <w:r>
        <w:rPr>
          <w:color w:val="0D0D0D" w:themeColor="text1" w:themeTint="F2"/>
        </w:rPr>
        <w:t>un projet est un document évolutif — il doit être régulièrement mis à jour au cours de la mise en œuvre du projet pour tenir compte de nouveaux risques pouvant émerger, en concertation avec le Secrétariat du Fonds.</w:t>
      </w:r>
    </w:p>
    <w:p w14:paraId="1FC0CA52" w14:textId="4E61356E" w:rsidR="00723702" w:rsidRPr="0089760A" w:rsidRDefault="00200710" w:rsidP="00723702">
      <w:pPr>
        <w:pStyle w:val="Heading2"/>
        <w:rPr>
          <w:rStyle w:val="IntenseEmphasis"/>
          <w:b/>
          <w:bCs/>
          <w:u w:val="single"/>
        </w:rPr>
      </w:pPr>
      <w:r>
        <w:rPr>
          <w:rStyle w:val="IntenseEmphasis"/>
          <w:b/>
          <w:bCs/>
          <w:u w:val="single"/>
        </w:rPr>
        <w:t>Inventaire d</w:t>
      </w:r>
      <w:r w:rsidR="002929DD">
        <w:rPr>
          <w:rStyle w:val="IntenseEmphasis"/>
          <w:b/>
          <w:bCs/>
          <w:u w:val="single"/>
        </w:rPr>
        <w:t>’</w:t>
      </w:r>
      <w:r>
        <w:rPr>
          <w:rStyle w:val="IntenseEmphasis"/>
          <w:b/>
          <w:bCs/>
          <w:u w:val="single"/>
        </w:rPr>
        <w:t>évaluation des risques du Fonds</w:t>
      </w:r>
    </w:p>
    <w:p w14:paraId="28791639" w14:textId="31384C35" w:rsidR="00C42433" w:rsidRDefault="0089760A" w:rsidP="00CC44E0">
      <w:pPr>
        <w:jc w:val="both"/>
        <w:rPr>
          <w:rFonts w:cstheme="minorHAnsi"/>
          <w:color w:val="0D0D0D"/>
          <w:shd w:val="clear" w:color="auto" w:fill="FFFFFF"/>
        </w:rPr>
      </w:pPr>
      <w:r>
        <w:rPr>
          <w:color w:val="0D0D0D"/>
          <w:shd w:val="clear" w:color="auto" w:fill="FFFFFF"/>
        </w:rPr>
        <w:t>L</w:t>
      </w:r>
      <w:r w:rsidR="002929DD">
        <w:rPr>
          <w:color w:val="0D0D0D"/>
          <w:shd w:val="clear" w:color="auto" w:fill="FFFFFF"/>
        </w:rPr>
        <w:t>’</w:t>
      </w:r>
      <w:r>
        <w:rPr>
          <w:color w:val="0D0D0D"/>
          <w:shd w:val="clear" w:color="auto" w:fill="FFFFFF"/>
        </w:rPr>
        <w:t>inventaire d</w:t>
      </w:r>
      <w:r w:rsidR="002929DD">
        <w:rPr>
          <w:color w:val="0D0D0D"/>
          <w:shd w:val="clear" w:color="auto" w:fill="FFFFFF"/>
        </w:rPr>
        <w:t>’</w:t>
      </w:r>
      <w:r>
        <w:rPr>
          <w:color w:val="0D0D0D"/>
          <w:shd w:val="clear" w:color="auto" w:fill="FFFFFF"/>
        </w:rPr>
        <w:t>évaluation des risques du Fonds constitue une base de données complète des risques pouvant survenir tout au long d</w:t>
      </w:r>
      <w:r w:rsidR="002929DD">
        <w:rPr>
          <w:color w:val="0D0D0D"/>
          <w:shd w:val="clear" w:color="auto" w:fill="FFFFFF"/>
        </w:rPr>
        <w:t>’</w:t>
      </w:r>
      <w:r>
        <w:rPr>
          <w:color w:val="0D0D0D"/>
          <w:shd w:val="clear" w:color="auto" w:fill="FFFFFF"/>
        </w:rPr>
        <w:t>un projet</w:t>
      </w:r>
      <w:r w:rsidR="002929DD">
        <w:rPr>
          <w:color w:val="0D0D0D"/>
          <w:shd w:val="clear" w:color="auto" w:fill="FFFFFF"/>
        </w:rPr>
        <w:t>. L</w:t>
      </w:r>
      <w:r>
        <w:rPr>
          <w:color w:val="0D0D0D"/>
          <w:shd w:val="clear" w:color="auto" w:fill="FFFFFF"/>
        </w:rPr>
        <w:t>es risques sont classés selon les catégories suivantes :</w:t>
      </w:r>
    </w:p>
    <w:p w14:paraId="7E35C62D" w14:textId="23B7B01B" w:rsidR="0089291A" w:rsidRPr="0089291A" w:rsidRDefault="0089291A" w:rsidP="379C0A37">
      <w:pPr>
        <w:pStyle w:val="ListParagraph"/>
        <w:numPr>
          <w:ilvl w:val="0"/>
          <w:numId w:val="34"/>
        </w:numPr>
        <w:jc w:val="both"/>
        <w:rPr>
          <w:color w:val="0D0D0D"/>
          <w:shd w:val="clear" w:color="auto" w:fill="FFFFFF"/>
        </w:rPr>
      </w:pPr>
      <w:r>
        <w:rPr>
          <w:b/>
          <w:bCs/>
          <w:color w:val="0D0D0D"/>
          <w:shd w:val="clear" w:color="auto" w:fill="FFFFFF"/>
        </w:rPr>
        <w:t>Risques contextuels</w:t>
      </w:r>
      <w:r w:rsidR="002929DD">
        <w:rPr>
          <w:b/>
          <w:bCs/>
          <w:color w:val="0D0D0D"/>
          <w:shd w:val="clear" w:color="auto" w:fill="FFFFFF"/>
        </w:rPr>
        <w:t xml:space="preserve"> -</w:t>
      </w:r>
      <w:r>
        <w:rPr>
          <w:color w:val="0D0D0D"/>
          <w:shd w:val="clear" w:color="auto" w:fill="FFFFFF"/>
        </w:rPr>
        <w:t xml:space="preserve"> Il s</w:t>
      </w:r>
      <w:r w:rsidR="002929DD">
        <w:rPr>
          <w:color w:val="0D0D0D"/>
          <w:shd w:val="clear" w:color="auto" w:fill="FFFFFF"/>
        </w:rPr>
        <w:t>’</w:t>
      </w:r>
      <w:r>
        <w:rPr>
          <w:color w:val="0D0D0D"/>
          <w:shd w:val="clear" w:color="auto" w:fill="FFFFFF"/>
        </w:rPr>
        <w:t>agit des risques liés au contexte général ou à l</w:t>
      </w:r>
      <w:r w:rsidR="002929DD">
        <w:rPr>
          <w:color w:val="0D0D0D"/>
          <w:shd w:val="clear" w:color="auto" w:fill="FFFFFF"/>
        </w:rPr>
        <w:t>’</w:t>
      </w:r>
      <w:r>
        <w:rPr>
          <w:color w:val="0D0D0D"/>
          <w:shd w:val="clear" w:color="auto" w:fill="FFFFFF"/>
        </w:rPr>
        <w:t>environnement dans lequel est mené le projet. Cela peut inclure des facteurs tels que les conditions économiques, la s</w:t>
      </w:r>
      <w:r w:rsidR="0E725C40">
        <w:rPr>
          <w:color w:val="0D0D0D"/>
          <w:shd w:val="clear" w:color="auto" w:fill="FFFFFF"/>
        </w:rPr>
        <w:t>ituation</w:t>
      </w:r>
      <w:r>
        <w:rPr>
          <w:color w:val="0D0D0D"/>
          <w:shd w:val="clear" w:color="auto" w:fill="FFFFFF"/>
        </w:rPr>
        <w:t xml:space="preserve"> politique, les dynamiques sociales ou d</w:t>
      </w:r>
      <w:r w:rsidR="002929DD">
        <w:rPr>
          <w:color w:val="0D0D0D"/>
          <w:shd w:val="clear" w:color="auto" w:fill="FFFFFF"/>
        </w:rPr>
        <w:t>’</w:t>
      </w:r>
      <w:r>
        <w:rPr>
          <w:color w:val="0D0D0D"/>
          <w:shd w:val="clear" w:color="auto" w:fill="FFFFFF"/>
        </w:rPr>
        <w:t xml:space="preserve">autres considérations culturelles pouvant </w:t>
      </w:r>
      <w:r w:rsidR="002929DD">
        <w:rPr>
          <w:color w:val="0D0D0D"/>
          <w:shd w:val="clear" w:color="auto" w:fill="FFFFFF"/>
        </w:rPr>
        <w:t>peser sur</w:t>
      </w:r>
      <w:r>
        <w:rPr>
          <w:color w:val="0D0D0D"/>
          <w:shd w:val="clear" w:color="auto" w:fill="FFFFFF"/>
        </w:rPr>
        <w:t xml:space="preserve"> la réussite du projet, ou au contraire </w:t>
      </w:r>
      <w:r w:rsidR="002929DD">
        <w:rPr>
          <w:color w:val="0D0D0D"/>
          <w:shd w:val="clear" w:color="auto" w:fill="FFFFFF"/>
        </w:rPr>
        <w:t xml:space="preserve">sur </w:t>
      </w:r>
      <w:r>
        <w:rPr>
          <w:color w:val="0D0D0D"/>
          <w:shd w:val="clear" w:color="auto" w:fill="FFFFFF"/>
        </w:rPr>
        <w:t>les difficultés rencontrées lors de sa mise en œuvre.</w:t>
      </w:r>
    </w:p>
    <w:p w14:paraId="20FF6174" w14:textId="77777777" w:rsidR="000D4938" w:rsidRPr="000D4938" w:rsidRDefault="000D4938" w:rsidP="000D4938">
      <w:pPr>
        <w:pStyle w:val="ListParagraph"/>
        <w:ind w:left="360"/>
        <w:jc w:val="both"/>
        <w:rPr>
          <w:rFonts w:cstheme="minorHAnsi"/>
          <w:color w:val="0D0D0D"/>
          <w:shd w:val="clear" w:color="auto" w:fill="FFFFFF"/>
        </w:rPr>
      </w:pPr>
    </w:p>
    <w:p w14:paraId="1B0C6255" w14:textId="3C140CB5" w:rsidR="0089291A" w:rsidRPr="0089291A" w:rsidRDefault="0089291A" w:rsidP="379C0A37">
      <w:pPr>
        <w:pStyle w:val="ListParagraph"/>
        <w:numPr>
          <w:ilvl w:val="0"/>
          <w:numId w:val="34"/>
        </w:numPr>
        <w:jc w:val="both"/>
        <w:rPr>
          <w:color w:val="0D0D0D"/>
          <w:shd w:val="clear" w:color="auto" w:fill="FFFFFF"/>
        </w:rPr>
      </w:pPr>
      <w:r>
        <w:rPr>
          <w:b/>
          <w:bCs/>
          <w:color w:val="0D0D0D"/>
          <w:shd w:val="clear" w:color="auto" w:fill="FFFFFF"/>
        </w:rPr>
        <w:t>Protection et gouvernance</w:t>
      </w:r>
      <w:r w:rsidR="002929DD">
        <w:rPr>
          <w:b/>
          <w:bCs/>
          <w:color w:val="0D0D0D"/>
          <w:shd w:val="clear" w:color="auto" w:fill="FFFFFF"/>
        </w:rPr>
        <w:t xml:space="preserve"> -</w:t>
      </w:r>
      <w:r>
        <w:rPr>
          <w:color w:val="0D0D0D"/>
          <w:shd w:val="clear" w:color="auto" w:fill="FFFFFF"/>
        </w:rPr>
        <w:t xml:space="preserve"> Cette catégorie vise les risques liés au respect des normes éthiques, aux </w:t>
      </w:r>
      <w:proofErr w:type="gramStart"/>
      <w:r>
        <w:rPr>
          <w:color w:val="0D0D0D"/>
          <w:shd w:val="clear" w:color="auto" w:fill="FFFFFF"/>
        </w:rPr>
        <w:t>exigences</w:t>
      </w:r>
      <w:proofErr w:type="gramEnd"/>
      <w:r>
        <w:rPr>
          <w:color w:val="0D0D0D"/>
          <w:shd w:val="clear" w:color="auto" w:fill="FFFFFF"/>
        </w:rPr>
        <w:t xml:space="preserve"> légales et aux bonnes pratiques de gouvernance. Les risques en matière de protection sont généralement liés à la protection du bien-être des personnes impliquées dans le projet ou impactées par celui-ci, ou à la réputation de ou des institution(s) et acteur(s) impliqués dans le projet.</w:t>
      </w:r>
    </w:p>
    <w:p w14:paraId="3FBD58A5" w14:textId="77777777" w:rsidR="000D4938" w:rsidRPr="000D4938" w:rsidRDefault="000D4938" w:rsidP="000D4938">
      <w:pPr>
        <w:pStyle w:val="ListParagraph"/>
        <w:ind w:left="360"/>
        <w:jc w:val="both"/>
        <w:rPr>
          <w:rFonts w:cstheme="minorHAnsi"/>
          <w:color w:val="0D0D0D"/>
          <w:shd w:val="clear" w:color="auto" w:fill="FFFFFF"/>
        </w:rPr>
      </w:pPr>
    </w:p>
    <w:p w14:paraId="6D30B930" w14:textId="34AD8873" w:rsidR="0089291A" w:rsidRPr="0089291A" w:rsidRDefault="0089291A" w:rsidP="379C0A37">
      <w:pPr>
        <w:pStyle w:val="ListParagraph"/>
        <w:numPr>
          <w:ilvl w:val="0"/>
          <w:numId w:val="34"/>
        </w:numPr>
        <w:jc w:val="both"/>
        <w:rPr>
          <w:color w:val="0D0D0D"/>
          <w:shd w:val="clear" w:color="auto" w:fill="FFFFFF"/>
        </w:rPr>
      </w:pPr>
      <w:r>
        <w:rPr>
          <w:b/>
          <w:bCs/>
          <w:color w:val="0D0D0D"/>
          <w:shd w:val="clear" w:color="auto" w:fill="FFFFFF"/>
        </w:rPr>
        <w:t>Risques de projet</w:t>
      </w:r>
      <w:r w:rsidR="002929DD">
        <w:rPr>
          <w:b/>
          <w:bCs/>
          <w:color w:val="0D0D0D"/>
          <w:shd w:val="clear" w:color="auto" w:fill="FFFFFF"/>
        </w:rPr>
        <w:t xml:space="preserve"> -</w:t>
      </w:r>
      <w:r>
        <w:rPr>
          <w:color w:val="0D0D0D"/>
          <w:shd w:val="clear" w:color="auto" w:fill="FFFFFF"/>
        </w:rPr>
        <w:t xml:space="preserve"> Les risques de projet englobent un large éventail de sources d</w:t>
      </w:r>
      <w:r w:rsidR="002929DD">
        <w:rPr>
          <w:color w:val="0D0D0D"/>
          <w:shd w:val="clear" w:color="auto" w:fill="FFFFFF"/>
        </w:rPr>
        <w:t>’</w:t>
      </w:r>
      <w:r>
        <w:rPr>
          <w:color w:val="0D0D0D"/>
          <w:shd w:val="clear" w:color="auto" w:fill="FFFFFF"/>
        </w:rPr>
        <w:t>incertitudes directement liées à la mise en œuvre du projet.  Il peut s</w:t>
      </w:r>
      <w:r w:rsidR="002929DD">
        <w:rPr>
          <w:color w:val="0D0D0D"/>
          <w:shd w:val="clear" w:color="auto" w:fill="FFFFFF"/>
        </w:rPr>
        <w:t>’</w:t>
      </w:r>
      <w:r>
        <w:rPr>
          <w:color w:val="0D0D0D"/>
          <w:shd w:val="clear" w:color="auto" w:fill="FFFFFF"/>
        </w:rPr>
        <w:t xml:space="preserve">agir de risques associés à la planification du projet, à des retards </w:t>
      </w:r>
      <w:r>
        <w:rPr>
          <w:color w:val="0D0D0D"/>
          <w:shd w:val="clear" w:color="auto" w:fill="FFFFFF"/>
        </w:rPr>
        <w:lastRenderedPageBreak/>
        <w:t>dans les autorisations et la signature d</w:t>
      </w:r>
      <w:r w:rsidR="002929DD">
        <w:rPr>
          <w:color w:val="0D0D0D"/>
          <w:shd w:val="clear" w:color="auto" w:fill="FFFFFF"/>
        </w:rPr>
        <w:t>’</w:t>
      </w:r>
      <w:r>
        <w:rPr>
          <w:color w:val="0D0D0D"/>
          <w:shd w:val="clear" w:color="auto" w:fill="FFFFFF"/>
        </w:rPr>
        <w:t>accords, à l</w:t>
      </w:r>
      <w:r w:rsidR="002929DD">
        <w:rPr>
          <w:color w:val="0D0D0D"/>
          <w:shd w:val="clear" w:color="auto" w:fill="FFFFFF"/>
        </w:rPr>
        <w:t>’</w:t>
      </w:r>
      <w:r>
        <w:rPr>
          <w:color w:val="0D0D0D"/>
          <w:shd w:val="clear" w:color="auto" w:fill="FFFFFF"/>
        </w:rPr>
        <w:t>allocation de ressources, à l</w:t>
      </w:r>
      <w:r w:rsidR="002929DD">
        <w:rPr>
          <w:color w:val="0D0D0D"/>
          <w:shd w:val="clear" w:color="auto" w:fill="FFFFFF"/>
        </w:rPr>
        <w:t>’</w:t>
      </w:r>
      <w:r>
        <w:rPr>
          <w:color w:val="0D0D0D"/>
          <w:shd w:val="clear" w:color="auto" w:fill="FFFFFF"/>
        </w:rPr>
        <w:t>interdépendance entre différentes tâches, ou encore à la gestion des parties prenantes.</w:t>
      </w:r>
    </w:p>
    <w:p w14:paraId="0B4220D4" w14:textId="77777777" w:rsidR="000D4938" w:rsidRPr="000D4938" w:rsidRDefault="000D4938" w:rsidP="000D4938">
      <w:pPr>
        <w:pStyle w:val="ListParagraph"/>
        <w:ind w:left="360"/>
        <w:jc w:val="both"/>
        <w:rPr>
          <w:rFonts w:cstheme="minorHAnsi"/>
          <w:color w:val="0D0D0D"/>
          <w:shd w:val="clear" w:color="auto" w:fill="FFFFFF"/>
        </w:rPr>
      </w:pPr>
    </w:p>
    <w:p w14:paraId="6DF2CE39" w14:textId="2874FD02" w:rsidR="000D4938" w:rsidRDefault="0089291A" w:rsidP="000D4938">
      <w:pPr>
        <w:pStyle w:val="ListParagraph"/>
        <w:numPr>
          <w:ilvl w:val="0"/>
          <w:numId w:val="34"/>
        </w:numPr>
        <w:jc w:val="both"/>
        <w:rPr>
          <w:rFonts w:cstheme="minorHAnsi"/>
          <w:color w:val="0D0D0D"/>
          <w:shd w:val="clear" w:color="auto" w:fill="FFFFFF"/>
        </w:rPr>
      </w:pPr>
      <w:r>
        <w:rPr>
          <w:b/>
          <w:bCs/>
          <w:color w:val="0D0D0D"/>
          <w:shd w:val="clear" w:color="auto" w:fill="FFFFFF"/>
        </w:rPr>
        <w:t>Risques opérationnels</w:t>
      </w:r>
      <w:r w:rsidR="002929DD">
        <w:rPr>
          <w:b/>
          <w:bCs/>
          <w:color w:val="0D0D0D"/>
          <w:shd w:val="clear" w:color="auto" w:fill="FFFFFF"/>
        </w:rPr>
        <w:t xml:space="preserve"> -</w:t>
      </w:r>
      <w:r>
        <w:rPr>
          <w:color w:val="0D0D0D"/>
          <w:shd w:val="clear" w:color="auto" w:fill="FFFFFF"/>
        </w:rPr>
        <w:t xml:space="preserve"> Les risques opérationnels font référence aux potentiels défis ayant trait aux activités quotidiennes du projet. On peut citer les risques liés aux technologies, à la logistique, au personnel ou à tout autre aspect opérationnel susceptible de peser sur l</w:t>
      </w:r>
      <w:r w:rsidR="002929DD">
        <w:rPr>
          <w:color w:val="0D0D0D"/>
          <w:shd w:val="clear" w:color="auto" w:fill="FFFFFF"/>
        </w:rPr>
        <w:t>’</w:t>
      </w:r>
      <w:r>
        <w:rPr>
          <w:color w:val="0D0D0D"/>
          <w:shd w:val="clear" w:color="auto" w:fill="FFFFFF"/>
        </w:rPr>
        <w:t>efficacité du projet.</w:t>
      </w:r>
    </w:p>
    <w:p w14:paraId="1BC51568" w14:textId="77777777" w:rsidR="000D4938" w:rsidRPr="000D4938" w:rsidRDefault="000D4938" w:rsidP="000D4938">
      <w:pPr>
        <w:pStyle w:val="ListParagraph"/>
        <w:ind w:left="360"/>
        <w:jc w:val="both"/>
        <w:rPr>
          <w:rFonts w:cstheme="minorHAnsi"/>
          <w:color w:val="0D0D0D"/>
          <w:shd w:val="clear" w:color="auto" w:fill="FFFFFF"/>
        </w:rPr>
      </w:pPr>
    </w:p>
    <w:p w14:paraId="0E2BE5C4" w14:textId="1908C493" w:rsidR="00E07984" w:rsidRDefault="2C94E94A" w:rsidP="379C0A37">
      <w:pPr>
        <w:pStyle w:val="ListParagraph"/>
        <w:numPr>
          <w:ilvl w:val="0"/>
          <w:numId w:val="34"/>
        </w:numPr>
        <w:jc w:val="both"/>
        <w:rPr>
          <w:color w:val="0D0D0D"/>
          <w:shd w:val="clear" w:color="auto" w:fill="FFFFFF"/>
        </w:rPr>
      </w:pPr>
      <w:r>
        <w:rPr>
          <w:b/>
          <w:bCs/>
          <w:color w:val="0D0D0D" w:themeColor="text1" w:themeTint="F2"/>
        </w:rPr>
        <w:t>Risques spécifiques à l</w:t>
      </w:r>
      <w:r w:rsidR="4D174171">
        <w:rPr>
          <w:b/>
          <w:bCs/>
          <w:color w:val="0D0D0D" w:themeColor="text1" w:themeTint="F2"/>
        </w:rPr>
        <w:t>’évaluation des obstacles</w:t>
      </w:r>
      <w:r>
        <w:rPr>
          <w:b/>
          <w:bCs/>
          <w:color w:val="0D0D0D" w:themeColor="text1" w:themeTint="F2"/>
        </w:rPr>
        <w:t xml:space="preserve"> </w:t>
      </w:r>
      <w:r w:rsidR="14FC7BA3">
        <w:rPr>
          <w:b/>
          <w:bCs/>
          <w:color w:val="0D0D0D" w:themeColor="text1" w:themeTint="F2"/>
        </w:rPr>
        <w:t>“</w:t>
      </w:r>
      <w:r>
        <w:rPr>
          <w:b/>
          <w:bCs/>
          <w:color w:val="0D0D0D" w:themeColor="text1" w:themeTint="F2"/>
        </w:rPr>
        <w:t>Mesure des opportunités pour les femmes dans les opérations de paix (</w:t>
      </w:r>
      <w:r>
        <w:rPr>
          <w:b/>
          <w:bCs/>
          <w:color w:val="0D0D0D"/>
          <w:shd w:val="clear" w:color="auto" w:fill="FFFFFF"/>
        </w:rPr>
        <w:t>MOWIP)</w:t>
      </w:r>
      <w:r w:rsidR="39807585">
        <w:rPr>
          <w:b/>
          <w:bCs/>
          <w:color w:val="0D0D0D"/>
          <w:shd w:val="clear" w:color="auto" w:fill="FFFFFF"/>
        </w:rPr>
        <w:t>”</w:t>
      </w:r>
      <w:r w:rsidR="002929DD">
        <w:rPr>
          <w:b/>
          <w:bCs/>
          <w:color w:val="0D0D0D"/>
          <w:shd w:val="clear" w:color="auto" w:fill="FFFFFF"/>
        </w:rPr>
        <w:t> -</w:t>
      </w:r>
      <w:r>
        <w:rPr>
          <w:color w:val="0D0D0D"/>
          <w:shd w:val="clear" w:color="auto" w:fill="FFFFFF"/>
        </w:rPr>
        <w:t xml:space="preserve"> </w:t>
      </w:r>
      <w:r w:rsidR="002929DD">
        <w:rPr>
          <w:color w:val="0D0D0D"/>
          <w:shd w:val="clear" w:color="auto" w:fill="FFFFFF"/>
        </w:rPr>
        <w:t xml:space="preserve">Il s’agit des risques </w:t>
      </w:r>
      <w:r>
        <w:rPr>
          <w:color w:val="0D0D0D"/>
          <w:shd w:val="clear" w:color="auto" w:fill="FFFFFF"/>
        </w:rPr>
        <w:t>spécifique</w:t>
      </w:r>
      <w:r w:rsidR="002929DD">
        <w:rPr>
          <w:color w:val="0D0D0D"/>
          <w:shd w:val="clear" w:color="auto" w:fill="FFFFFF"/>
        </w:rPr>
        <w:t>s</w:t>
      </w:r>
      <w:r>
        <w:rPr>
          <w:color w:val="0D0D0D"/>
          <w:shd w:val="clear" w:color="auto" w:fill="FFFFFF"/>
        </w:rPr>
        <w:t xml:space="preserve"> rencontrés au cours de la conduite de l</w:t>
      </w:r>
      <w:r w:rsidR="002929DD">
        <w:rPr>
          <w:color w:val="0D0D0D"/>
          <w:shd w:val="clear" w:color="auto" w:fill="FFFFFF"/>
        </w:rPr>
        <w:t>’</w:t>
      </w:r>
      <w:r>
        <w:rPr>
          <w:color w:val="0D0D0D"/>
          <w:shd w:val="clear" w:color="auto" w:fill="FFFFFF"/>
        </w:rPr>
        <w:t>évaluation des obstacles MOWIP. Ces risques peuvent concerner des problèmes liés à la planification, aux entretiens avec les parties prenantes, au processus de recherche, à l</w:t>
      </w:r>
      <w:r w:rsidR="002929DD">
        <w:rPr>
          <w:color w:val="0D0D0D"/>
          <w:shd w:val="clear" w:color="auto" w:fill="FFFFFF"/>
        </w:rPr>
        <w:t>’</w:t>
      </w:r>
      <w:r>
        <w:rPr>
          <w:color w:val="0D0D0D"/>
          <w:shd w:val="clear" w:color="auto" w:fill="FFFFFF"/>
        </w:rPr>
        <w:t>analyse des données, ou à tout autre aspect de la mise en œuvre de l</w:t>
      </w:r>
      <w:r w:rsidR="002929DD">
        <w:rPr>
          <w:color w:val="0D0D0D"/>
          <w:shd w:val="clear" w:color="auto" w:fill="FFFFFF"/>
        </w:rPr>
        <w:t>’</w:t>
      </w:r>
      <w:r>
        <w:rPr>
          <w:color w:val="0D0D0D"/>
          <w:shd w:val="clear" w:color="auto" w:fill="FFFFFF"/>
        </w:rPr>
        <w:t>évaluation des obstacles dans le contexte national.</w:t>
      </w:r>
    </w:p>
    <w:p w14:paraId="451A51C4" w14:textId="77777777" w:rsidR="00E07984" w:rsidRPr="00E07984" w:rsidRDefault="00E07984" w:rsidP="00E07984">
      <w:pPr>
        <w:pStyle w:val="ListParagraph"/>
        <w:rPr>
          <w:rFonts w:cstheme="minorHAnsi"/>
          <w:b/>
          <w:bCs/>
          <w:color w:val="0D0D0D"/>
          <w:shd w:val="clear" w:color="auto" w:fill="FFFFFF"/>
        </w:rPr>
      </w:pPr>
    </w:p>
    <w:p w14:paraId="141430C3" w14:textId="63AEB2AB" w:rsidR="00FD3EAC" w:rsidRPr="00E07984" w:rsidRDefault="0089291A" w:rsidP="379C0A37">
      <w:pPr>
        <w:pStyle w:val="ListParagraph"/>
        <w:numPr>
          <w:ilvl w:val="0"/>
          <w:numId w:val="34"/>
        </w:numPr>
        <w:jc w:val="both"/>
        <w:rPr>
          <w:color w:val="0D0D0D"/>
          <w:shd w:val="clear" w:color="auto" w:fill="FFFFFF"/>
        </w:rPr>
      </w:pPr>
      <w:r>
        <w:rPr>
          <w:b/>
          <w:bCs/>
          <w:color w:val="0D0D0D"/>
          <w:shd w:val="clear" w:color="auto" w:fill="FFFFFF"/>
        </w:rPr>
        <w:t>Risques spécifiques à la construction</w:t>
      </w:r>
      <w:r w:rsidR="002929DD">
        <w:rPr>
          <w:b/>
          <w:bCs/>
          <w:color w:val="0D0D0D"/>
          <w:shd w:val="clear" w:color="auto" w:fill="FFFFFF"/>
        </w:rPr>
        <w:t xml:space="preserve"> -</w:t>
      </w:r>
      <w:r>
        <w:rPr>
          <w:color w:val="0D0D0D"/>
          <w:shd w:val="clear" w:color="auto" w:fill="FFFFFF"/>
        </w:rPr>
        <w:t xml:space="preserve"> Ces risques sont liés aux projets comprenant la construction de bâtiments ou autres infrastructures. Il peut s</w:t>
      </w:r>
      <w:r w:rsidR="002929DD">
        <w:rPr>
          <w:color w:val="0D0D0D"/>
          <w:shd w:val="clear" w:color="auto" w:fill="FFFFFF"/>
        </w:rPr>
        <w:t>’</w:t>
      </w:r>
      <w:r>
        <w:rPr>
          <w:color w:val="0D0D0D"/>
          <w:shd w:val="clear" w:color="auto" w:fill="FFFFFF"/>
        </w:rPr>
        <w:t>agir de problèmes de conception, de matériaux, de main d</w:t>
      </w:r>
      <w:r w:rsidR="002929DD">
        <w:rPr>
          <w:color w:val="0D0D0D"/>
          <w:shd w:val="clear" w:color="auto" w:fill="FFFFFF"/>
        </w:rPr>
        <w:t>’</w:t>
      </w:r>
      <w:r>
        <w:rPr>
          <w:color w:val="0D0D0D"/>
          <w:shd w:val="clear" w:color="auto" w:fill="FFFFFF"/>
        </w:rPr>
        <w:t>œuvre, de sécurité, de respect des normes de construction ou de normes sociales et environnementales</w:t>
      </w:r>
      <w:r w:rsidR="1B5E4A49">
        <w:rPr>
          <w:color w:val="0D0D0D"/>
          <w:shd w:val="clear" w:color="auto" w:fill="FFFFFF"/>
        </w:rPr>
        <w:t>.</w:t>
      </w:r>
      <w:r w:rsidRPr="379C0A37">
        <w:rPr>
          <w:rStyle w:val="FootnoteReference"/>
          <w:color w:val="0D0D0D" w:themeColor="text1" w:themeTint="F2"/>
        </w:rPr>
        <w:footnoteReference w:id="2"/>
      </w:r>
      <w:r>
        <w:rPr>
          <w:color w:val="0D0D0D"/>
          <w:shd w:val="clear" w:color="auto" w:fill="FFFFFF"/>
        </w:rPr>
        <w:t xml:space="preserve"> </w:t>
      </w:r>
    </w:p>
    <w:p w14:paraId="6157EB5A" w14:textId="7900A8AF" w:rsidR="00E53BDB" w:rsidRDefault="004D3770" w:rsidP="0089760A">
      <w:pPr>
        <w:jc w:val="both"/>
        <w:rPr>
          <w:rFonts w:cstheme="minorHAnsi"/>
          <w:color w:val="0D0D0D"/>
          <w:shd w:val="clear" w:color="auto" w:fill="FFFFFF"/>
        </w:rPr>
      </w:pPr>
      <w:r>
        <w:rPr>
          <w:color w:val="0D0D0D"/>
          <w:shd w:val="clear" w:color="auto" w:fill="FFFFFF"/>
        </w:rPr>
        <w:t>Notez que l</w:t>
      </w:r>
      <w:r w:rsidR="002929DD">
        <w:rPr>
          <w:color w:val="0D0D0D"/>
          <w:shd w:val="clear" w:color="auto" w:fill="FFFFFF"/>
        </w:rPr>
        <w:t>’</w:t>
      </w:r>
      <w:r>
        <w:rPr>
          <w:color w:val="0D0D0D"/>
          <w:shd w:val="clear" w:color="auto" w:fill="FFFFFF"/>
        </w:rPr>
        <w:t>ensemble des risques énumérés n</w:t>
      </w:r>
      <w:r w:rsidR="002929DD">
        <w:rPr>
          <w:color w:val="0D0D0D"/>
          <w:shd w:val="clear" w:color="auto" w:fill="FFFFFF"/>
        </w:rPr>
        <w:t>’</w:t>
      </w:r>
      <w:r>
        <w:rPr>
          <w:color w:val="0D0D0D"/>
          <w:shd w:val="clear" w:color="auto" w:fill="FFFFFF"/>
        </w:rPr>
        <w:t>affecteront pas forcément tous les projets — ils doivent cependant être pris en compte lorsque vous démarrez la planification de votre projet.</w:t>
      </w:r>
    </w:p>
    <w:p w14:paraId="0186FD2E" w14:textId="20C55D1C" w:rsidR="00BC62DA" w:rsidRPr="00BC62DA" w:rsidRDefault="00BC62DA" w:rsidP="00BC62DA">
      <w:pPr>
        <w:pStyle w:val="Heading2"/>
        <w:rPr>
          <w:rStyle w:val="IntenseEmphasis"/>
          <w:b/>
          <w:bCs/>
          <w:u w:val="single"/>
        </w:rPr>
      </w:pPr>
      <w:r>
        <w:rPr>
          <w:rStyle w:val="IntenseEmphasis"/>
          <w:b/>
          <w:bCs/>
          <w:u w:val="single"/>
        </w:rPr>
        <w:t>Comment remplir le modèle d</w:t>
      </w:r>
      <w:r w:rsidR="002929DD">
        <w:rPr>
          <w:rStyle w:val="IntenseEmphasis"/>
          <w:b/>
          <w:bCs/>
          <w:u w:val="single"/>
        </w:rPr>
        <w:t>’</w:t>
      </w:r>
      <w:r>
        <w:rPr>
          <w:rStyle w:val="IntenseEmphasis"/>
          <w:b/>
          <w:bCs/>
          <w:u w:val="single"/>
        </w:rPr>
        <w:t>évaluation des risques du Fonds ?</w:t>
      </w:r>
    </w:p>
    <w:p w14:paraId="25F1D301" w14:textId="5B6DB485" w:rsidR="00B67604" w:rsidRPr="00DE790F" w:rsidRDefault="00490DC0" w:rsidP="00325CA2">
      <w:pPr>
        <w:jc w:val="both"/>
        <w:rPr>
          <w:rFonts w:cstheme="minorHAnsi"/>
          <w:color w:val="0D0D0D"/>
          <w:shd w:val="clear" w:color="auto" w:fill="FFFFFF"/>
        </w:rPr>
      </w:pPr>
      <w:r>
        <w:rPr>
          <w:b/>
          <w:bCs/>
          <w:color w:val="0D0D0D"/>
          <w:shd w:val="clear" w:color="auto" w:fill="FFFFFF"/>
        </w:rPr>
        <w:t>Étape 1 - déterminer les risques liés au projet (Colonne D)</w:t>
      </w:r>
      <w:r>
        <w:rPr>
          <w:color w:val="0D0D0D"/>
          <w:shd w:val="clear" w:color="auto" w:fill="FFFFFF"/>
        </w:rPr>
        <w:t xml:space="preserve"> Utilisez l</w:t>
      </w:r>
      <w:r w:rsidR="002929DD">
        <w:rPr>
          <w:color w:val="0D0D0D"/>
          <w:shd w:val="clear" w:color="auto" w:fill="FFFFFF"/>
        </w:rPr>
        <w:t xml:space="preserve">’Inventaire </w:t>
      </w:r>
      <w:r>
        <w:rPr>
          <w:color w:val="0D0D0D"/>
          <w:shd w:val="clear" w:color="auto" w:fill="FFFFFF"/>
        </w:rPr>
        <w:t xml:space="preserve">des risques du Fonds pour vous </w:t>
      </w:r>
      <w:r w:rsidR="002929DD">
        <w:rPr>
          <w:color w:val="0D0D0D"/>
          <w:shd w:val="clear" w:color="auto" w:fill="FFFFFF"/>
        </w:rPr>
        <w:t>guider</w:t>
      </w:r>
      <w:r>
        <w:rPr>
          <w:color w:val="0D0D0D"/>
          <w:shd w:val="clear" w:color="auto" w:fill="FFFFFF"/>
        </w:rPr>
        <w:t xml:space="preserve">, puis déterminez et décrivez les risques spécifiques dans chaque catégorie ayant trait à votre projet. </w:t>
      </w:r>
      <w:r>
        <w:rPr>
          <w:color w:val="0D0D0D"/>
        </w:rPr>
        <w:t xml:space="preserve">Dressez la liste de tous les </w:t>
      </w:r>
      <w:proofErr w:type="gramStart"/>
      <w:r>
        <w:rPr>
          <w:color w:val="0D0D0D"/>
        </w:rPr>
        <w:t>risques potentiels</w:t>
      </w:r>
      <w:proofErr w:type="gramEnd"/>
      <w:r>
        <w:rPr>
          <w:color w:val="0D0D0D"/>
        </w:rPr>
        <w:t xml:space="preserve"> pouvant se répercuter sur votre projet. Tenez compte de facteurs comme la sécurité du personnel, les ressources alloués au projet, les conditions environnementales ou tout autre défi imprévu pouvant survenir. Ajoutez des informations sur </w:t>
      </w:r>
      <w:r>
        <w:rPr>
          <w:color w:val="0D0D0D"/>
          <w:shd w:val="clear" w:color="auto" w:fill="FFFFFF"/>
        </w:rPr>
        <w:t>leur nature, leur origine et leur impact potentiel sur le projet.</w:t>
      </w:r>
    </w:p>
    <w:p w14:paraId="249826D4" w14:textId="2F30BBDC" w:rsidR="00B43820" w:rsidRPr="00DE790F" w:rsidRDefault="00224E65" w:rsidP="00325CA2">
      <w:pPr>
        <w:jc w:val="both"/>
        <w:rPr>
          <w:rFonts w:cstheme="minorHAnsi"/>
          <w:color w:val="0D0D0D"/>
          <w:shd w:val="clear" w:color="auto" w:fill="FFFFFF"/>
        </w:rPr>
      </w:pPr>
      <w:r>
        <w:rPr>
          <w:color w:val="0D0D0D"/>
          <w:shd w:val="clear" w:color="auto" w:fill="FFFFFF"/>
        </w:rPr>
        <w:t>Intégrez également tous les risques spécifiques au projet que vous avez identifié et qui n</w:t>
      </w:r>
      <w:r w:rsidR="002929DD">
        <w:rPr>
          <w:color w:val="0D0D0D"/>
          <w:shd w:val="clear" w:color="auto" w:fill="FFFFFF"/>
        </w:rPr>
        <w:t>’</w:t>
      </w:r>
      <w:r>
        <w:rPr>
          <w:color w:val="0D0D0D"/>
          <w:shd w:val="clear" w:color="auto" w:fill="FFFFFF"/>
        </w:rPr>
        <w:t>apparaissent pas dans l</w:t>
      </w:r>
      <w:r w:rsidR="002929DD">
        <w:rPr>
          <w:color w:val="0D0D0D"/>
          <w:shd w:val="clear" w:color="auto" w:fill="FFFFFF"/>
        </w:rPr>
        <w:t xml:space="preserve">’inventaire </w:t>
      </w:r>
      <w:r>
        <w:rPr>
          <w:color w:val="0D0D0D"/>
          <w:shd w:val="clear" w:color="auto" w:fill="FFFFFF"/>
        </w:rPr>
        <w:t>de risques du Fonds. Cela garantira un examen approfondi des risques spécifiques à votre projet, et contribuera à une évaluation complète des risques.</w:t>
      </w:r>
    </w:p>
    <w:p w14:paraId="17F5BDCF" w14:textId="0DB56CA9" w:rsidR="00B67604" w:rsidRPr="00DE790F" w:rsidRDefault="00325CA2" w:rsidP="00AF2B6F">
      <w:pPr>
        <w:jc w:val="both"/>
        <w:rPr>
          <w:rFonts w:cstheme="minorHAnsi"/>
          <w:color w:val="0D0D0D"/>
          <w:shd w:val="clear" w:color="auto" w:fill="FFFFFF"/>
        </w:rPr>
      </w:pPr>
      <w:r>
        <w:rPr>
          <w:b/>
          <w:bCs/>
          <w:color w:val="0D0D0D"/>
          <w:shd w:val="clear" w:color="auto" w:fill="FFFFFF"/>
        </w:rPr>
        <w:t>Étape 2 - Probabilité (Colonne E)</w:t>
      </w:r>
      <w:r>
        <w:rPr>
          <w:color w:val="0D0D0D"/>
          <w:shd w:val="clear" w:color="auto" w:fill="FFFFFF"/>
        </w:rPr>
        <w:t xml:space="preserve"> Évaluez la probabilité que chaque risque identifié se produise à l</w:t>
      </w:r>
      <w:r w:rsidR="002929DD">
        <w:rPr>
          <w:color w:val="0D0D0D"/>
          <w:shd w:val="clear" w:color="auto" w:fill="FFFFFF"/>
        </w:rPr>
        <w:t>’</w:t>
      </w:r>
      <w:r>
        <w:rPr>
          <w:color w:val="0D0D0D"/>
          <w:shd w:val="clear" w:color="auto" w:fill="FFFFFF"/>
        </w:rPr>
        <w:t>aide de l</w:t>
      </w:r>
      <w:r w:rsidR="002929DD">
        <w:rPr>
          <w:color w:val="0D0D0D"/>
          <w:shd w:val="clear" w:color="auto" w:fill="FFFFFF"/>
        </w:rPr>
        <w:t>’</w:t>
      </w:r>
      <w:r>
        <w:rPr>
          <w:color w:val="0D0D0D"/>
          <w:shd w:val="clear" w:color="auto" w:fill="FFFFFF"/>
        </w:rPr>
        <w:t>échelle déroulante (improbable, modérément probable, très probable).</w:t>
      </w:r>
    </w:p>
    <w:p w14:paraId="3BC808C7" w14:textId="0906F4F7" w:rsidR="00EC0B2D" w:rsidRPr="00DE790F" w:rsidRDefault="00234CCD" w:rsidP="00234CCD">
      <w:pPr>
        <w:jc w:val="both"/>
        <w:rPr>
          <w:rFonts w:cstheme="minorHAnsi"/>
          <w:color w:val="0D0D0D"/>
          <w:shd w:val="clear" w:color="auto" w:fill="FFFFFF"/>
        </w:rPr>
      </w:pPr>
      <w:r>
        <w:rPr>
          <w:b/>
          <w:bCs/>
          <w:color w:val="0D0D0D"/>
          <w:shd w:val="clear" w:color="auto" w:fill="FFFFFF"/>
        </w:rPr>
        <w:t xml:space="preserve">Étape 3 - Conséquence (Colonne F) </w:t>
      </w:r>
      <w:r>
        <w:rPr>
          <w:color w:val="0D0D0D"/>
          <w:shd w:val="clear" w:color="auto" w:fill="FFFFFF"/>
        </w:rPr>
        <w:t>Évaluez les conséquences potentielles associées à chaque risque. Tenez compte de l</w:t>
      </w:r>
      <w:r w:rsidR="002929DD">
        <w:rPr>
          <w:color w:val="0D0D0D"/>
          <w:shd w:val="clear" w:color="auto" w:fill="FFFFFF"/>
        </w:rPr>
        <w:t>’</w:t>
      </w:r>
      <w:r>
        <w:rPr>
          <w:color w:val="0D0D0D"/>
          <w:shd w:val="clear" w:color="auto" w:fill="FFFFFF"/>
        </w:rPr>
        <w:t>impact des objectifs, des ressources et des échéances du projet, ainsi que tout autre facteur pertinent. Utilisez l</w:t>
      </w:r>
      <w:r w:rsidR="002929DD">
        <w:rPr>
          <w:color w:val="0D0D0D"/>
          <w:shd w:val="clear" w:color="auto" w:fill="FFFFFF"/>
        </w:rPr>
        <w:t>’</w:t>
      </w:r>
      <w:r>
        <w:rPr>
          <w:color w:val="0D0D0D"/>
          <w:shd w:val="clear" w:color="auto" w:fill="FFFFFF"/>
        </w:rPr>
        <w:t>échelle (faible, moyenne, élevée) pour classer les conséquences.</w:t>
      </w:r>
    </w:p>
    <w:p w14:paraId="427D692D" w14:textId="047AB070" w:rsidR="00B67604" w:rsidRPr="00DE790F" w:rsidRDefault="009B6ECF" w:rsidP="009B6ECF">
      <w:pPr>
        <w:jc w:val="both"/>
        <w:rPr>
          <w:rFonts w:cstheme="minorHAnsi"/>
          <w:color w:val="0D0D0D"/>
          <w:shd w:val="clear" w:color="auto" w:fill="FFFFFF"/>
        </w:rPr>
      </w:pPr>
      <w:r>
        <w:rPr>
          <w:b/>
          <w:bCs/>
          <w:color w:val="0D0D0D"/>
          <w:shd w:val="clear" w:color="auto" w:fill="FFFFFF"/>
        </w:rPr>
        <w:t>Étape 4 - Mesures d</w:t>
      </w:r>
      <w:r w:rsidR="002929DD">
        <w:rPr>
          <w:b/>
          <w:bCs/>
          <w:color w:val="0D0D0D"/>
          <w:shd w:val="clear" w:color="auto" w:fill="FFFFFF"/>
        </w:rPr>
        <w:t>’</w:t>
      </w:r>
      <w:r>
        <w:rPr>
          <w:b/>
          <w:bCs/>
          <w:color w:val="0D0D0D"/>
          <w:shd w:val="clear" w:color="auto" w:fill="FFFFFF"/>
        </w:rPr>
        <w:t xml:space="preserve">atténuation (Colonne G) </w:t>
      </w:r>
      <w:r>
        <w:rPr>
          <w:color w:val="0D0D0D"/>
          <w:shd w:val="clear" w:color="auto" w:fill="FFFFFF"/>
        </w:rPr>
        <w:t>Pour chaque risque, proposez des mesures d</w:t>
      </w:r>
      <w:r w:rsidR="002929DD">
        <w:rPr>
          <w:color w:val="0D0D0D"/>
          <w:shd w:val="clear" w:color="auto" w:fill="FFFFFF"/>
        </w:rPr>
        <w:t>’</w:t>
      </w:r>
      <w:r>
        <w:rPr>
          <w:color w:val="0D0D0D"/>
          <w:shd w:val="clear" w:color="auto" w:fill="FFFFFF"/>
        </w:rPr>
        <w:t>atténuation pratiques et efficaces. Décrivez les étapes ou mesures à prendre pour réduire la probabilité ou les conséquences des événements à risque.</w:t>
      </w:r>
    </w:p>
    <w:p w14:paraId="7E2010B0" w14:textId="1B2B311F" w:rsidR="00B67604" w:rsidRPr="00DE790F" w:rsidRDefault="009B6ECF" w:rsidP="009B6ECF">
      <w:pPr>
        <w:jc w:val="both"/>
        <w:rPr>
          <w:rFonts w:cstheme="minorHAnsi"/>
          <w:color w:val="0D0D0D"/>
          <w:shd w:val="clear" w:color="auto" w:fill="FFFFFF"/>
        </w:rPr>
      </w:pPr>
      <w:r>
        <w:rPr>
          <w:b/>
          <w:bCs/>
          <w:color w:val="0D0D0D"/>
          <w:shd w:val="clear" w:color="auto" w:fill="FFFFFF"/>
        </w:rPr>
        <w:lastRenderedPageBreak/>
        <w:t>Étape 5 - Échéance des mesures d</w:t>
      </w:r>
      <w:r w:rsidR="002929DD">
        <w:rPr>
          <w:b/>
          <w:bCs/>
          <w:color w:val="0D0D0D"/>
          <w:shd w:val="clear" w:color="auto" w:fill="FFFFFF"/>
        </w:rPr>
        <w:t>’</w:t>
      </w:r>
      <w:r>
        <w:rPr>
          <w:b/>
          <w:bCs/>
          <w:color w:val="0D0D0D"/>
          <w:shd w:val="clear" w:color="auto" w:fill="FFFFFF"/>
        </w:rPr>
        <w:t xml:space="preserve">atténuation </w:t>
      </w:r>
      <w:r>
        <w:rPr>
          <w:color w:val="0D0D0D"/>
          <w:shd w:val="clear" w:color="auto" w:fill="FFFFFF"/>
        </w:rPr>
        <w:t>Fixez une échéance spécifique pour la mise en œuvre de chaque mesure d</w:t>
      </w:r>
      <w:r w:rsidR="002929DD">
        <w:rPr>
          <w:color w:val="0D0D0D"/>
          <w:shd w:val="clear" w:color="auto" w:fill="FFFFFF"/>
        </w:rPr>
        <w:t>’</w:t>
      </w:r>
      <w:r>
        <w:rPr>
          <w:color w:val="0D0D0D"/>
          <w:shd w:val="clear" w:color="auto" w:fill="FFFFFF"/>
        </w:rPr>
        <w:t>atténuation. Veillez à ce que ces échéances soient alignées sur le calendrier du projet et laissent suffisamment de temps pour préparer et appliquer lesdites mesures.</w:t>
      </w:r>
    </w:p>
    <w:p w14:paraId="74D8D899" w14:textId="626B621B" w:rsidR="00B67604" w:rsidRPr="00DE790F" w:rsidRDefault="009B6ECF" w:rsidP="2890D612">
      <w:pPr>
        <w:jc w:val="both"/>
        <w:rPr>
          <w:color w:val="0D0D0D"/>
          <w:highlight w:val="yellow"/>
          <w:shd w:val="clear" w:color="auto" w:fill="FFFFFF"/>
        </w:rPr>
      </w:pPr>
      <w:r>
        <w:rPr>
          <w:b/>
          <w:bCs/>
          <w:color w:val="0D0D0D"/>
          <w:shd w:val="clear" w:color="auto" w:fill="FFFFFF"/>
        </w:rPr>
        <w:t>Étape 6 - Responsabilité des mesures d</w:t>
      </w:r>
      <w:r w:rsidR="002929DD">
        <w:rPr>
          <w:b/>
          <w:bCs/>
          <w:color w:val="0D0D0D"/>
          <w:shd w:val="clear" w:color="auto" w:fill="FFFFFF"/>
        </w:rPr>
        <w:t>’</w:t>
      </w:r>
      <w:r>
        <w:rPr>
          <w:b/>
          <w:bCs/>
          <w:color w:val="0D0D0D"/>
          <w:shd w:val="clear" w:color="auto" w:fill="FFFFFF"/>
        </w:rPr>
        <w:t xml:space="preserve">atténuation (Colonne I) </w:t>
      </w:r>
      <w:r>
        <w:rPr>
          <w:color w:val="0D0D0D"/>
          <w:shd w:val="clear" w:color="auto" w:fill="FFFFFF"/>
        </w:rPr>
        <w:t>Désignez la personne ou l</w:t>
      </w:r>
      <w:r w:rsidR="002929DD">
        <w:rPr>
          <w:color w:val="0D0D0D"/>
          <w:shd w:val="clear" w:color="auto" w:fill="FFFFFF"/>
        </w:rPr>
        <w:t>’</w:t>
      </w:r>
      <w:r>
        <w:rPr>
          <w:color w:val="0D0D0D"/>
          <w:shd w:val="clear" w:color="auto" w:fill="FFFFFF"/>
        </w:rPr>
        <w:t>équipe qui sera responsable de superviser et de mettre en œuvre chaque mesure d</w:t>
      </w:r>
      <w:r w:rsidR="002929DD">
        <w:rPr>
          <w:color w:val="0D0D0D"/>
          <w:shd w:val="clear" w:color="auto" w:fill="FFFFFF"/>
        </w:rPr>
        <w:t>’</w:t>
      </w:r>
      <w:r>
        <w:rPr>
          <w:color w:val="0D0D0D"/>
          <w:shd w:val="clear" w:color="auto" w:fill="FFFFFF"/>
        </w:rPr>
        <w:t>atténuation. Spécifiez les rôles et responsabilités pour veiller à ce que chacun</w:t>
      </w:r>
      <w:r w:rsidR="7F82F23C">
        <w:rPr>
          <w:color w:val="0D0D0D"/>
          <w:shd w:val="clear" w:color="auto" w:fill="FFFFFF"/>
        </w:rPr>
        <w:t xml:space="preserve"> prenne ses responsabilités.</w:t>
      </w:r>
      <w:r>
        <w:rPr>
          <w:color w:val="0D0D0D"/>
          <w:shd w:val="clear" w:color="auto" w:fill="FFFFFF"/>
        </w:rPr>
        <w:t xml:space="preserve"> </w:t>
      </w:r>
    </w:p>
    <w:p w14:paraId="3DFA4CFC" w14:textId="6AF51C9A" w:rsidR="00B67604" w:rsidRPr="00DE790F" w:rsidRDefault="00B67604" w:rsidP="00B67604">
      <w:pPr>
        <w:jc w:val="both"/>
        <w:rPr>
          <w:rFonts w:cstheme="minorHAnsi"/>
          <w:color w:val="0D0D0D"/>
          <w:shd w:val="clear" w:color="auto" w:fill="FFFFFF"/>
        </w:rPr>
      </w:pPr>
      <w:r>
        <w:rPr>
          <w:b/>
          <w:bCs/>
          <w:color w:val="0D0D0D"/>
          <w:shd w:val="clear" w:color="auto" w:fill="FFFFFF"/>
        </w:rPr>
        <w:t>Conseils d</w:t>
      </w:r>
      <w:r w:rsidR="002929DD">
        <w:rPr>
          <w:b/>
          <w:bCs/>
          <w:color w:val="0D0D0D"/>
          <w:shd w:val="clear" w:color="auto" w:fill="FFFFFF"/>
        </w:rPr>
        <w:t>’</w:t>
      </w:r>
      <w:r>
        <w:rPr>
          <w:b/>
          <w:bCs/>
          <w:color w:val="0D0D0D"/>
          <w:shd w:val="clear" w:color="auto" w:fill="FFFFFF"/>
        </w:rPr>
        <w:t>ordre général :</w:t>
      </w:r>
    </w:p>
    <w:p w14:paraId="257FF2E2" w14:textId="2A99CE8C" w:rsidR="00B67604" w:rsidRPr="00DE790F" w:rsidRDefault="00B67604" w:rsidP="00EC0B2D">
      <w:pPr>
        <w:numPr>
          <w:ilvl w:val="0"/>
          <w:numId w:val="33"/>
        </w:numPr>
        <w:tabs>
          <w:tab w:val="clear" w:pos="720"/>
          <w:tab w:val="num" w:pos="360"/>
        </w:tabs>
        <w:ind w:left="360"/>
        <w:jc w:val="both"/>
        <w:rPr>
          <w:rFonts w:cstheme="minorHAnsi"/>
          <w:color w:val="0D0D0D"/>
          <w:shd w:val="clear" w:color="auto" w:fill="FFFFFF"/>
        </w:rPr>
      </w:pPr>
      <w:r>
        <w:rPr>
          <w:b/>
          <w:bCs/>
          <w:color w:val="0D0D0D"/>
          <w:shd w:val="clear" w:color="auto" w:fill="FFFFFF"/>
        </w:rPr>
        <w:t>Collaboration :</w:t>
      </w:r>
      <w:r>
        <w:rPr>
          <w:color w:val="0D0D0D"/>
          <w:shd w:val="clear" w:color="auto" w:fill="FFFFFF"/>
        </w:rPr>
        <w:t xml:space="preserve"> Impliquez les acteurs concernés dans le processus d</w:t>
      </w:r>
      <w:r w:rsidR="002929DD">
        <w:rPr>
          <w:color w:val="0D0D0D"/>
          <w:shd w:val="clear" w:color="auto" w:fill="FFFFFF"/>
        </w:rPr>
        <w:t>’</w:t>
      </w:r>
      <w:r>
        <w:rPr>
          <w:color w:val="0D0D0D"/>
          <w:shd w:val="clear" w:color="auto" w:fill="FFFFFF"/>
        </w:rPr>
        <w:t xml:space="preserve">évaluation des risques. </w:t>
      </w:r>
      <w:r w:rsidR="001B462E">
        <w:rPr>
          <w:color w:val="0D0D0D"/>
          <w:shd w:val="clear" w:color="auto" w:fill="FFFFFF"/>
        </w:rPr>
        <w:t>Recueillez</w:t>
      </w:r>
      <w:r>
        <w:rPr>
          <w:color w:val="0D0D0D"/>
          <w:shd w:val="clear" w:color="auto" w:fill="FFFFFF"/>
        </w:rPr>
        <w:t xml:space="preserve"> les points de vue des membres de l</w:t>
      </w:r>
      <w:r w:rsidR="002929DD">
        <w:rPr>
          <w:color w:val="0D0D0D"/>
          <w:shd w:val="clear" w:color="auto" w:fill="FFFFFF"/>
        </w:rPr>
        <w:t>’</w:t>
      </w:r>
      <w:r>
        <w:rPr>
          <w:color w:val="0D0D0D"/>
          <w:shd w:val="clear" w:color="auto" w:fill="FFFFFF"/>
        </w:rPr>
        <w:t>équipe, des spécialistes d</w:t>
      </w:r>
      <w:r w:rsidR="001B462E">
        <w:rPr>
          <w:color w:val="0D0D0D"/>
          <w:shd w:val="clear" w:color="auto" w:fill="FFFFFF"/>
        </w:rPr>
        <w:t>u domaine</w:t>
      </w:r>
      <w:r>
        <w:rPr>
          <w:color w:val="0D0D0D"/>
          <w:shd w:val="clear" w:color="auto" w:fill="FFFFFF"/>
        </w:rPr>
        <w:t xml:space="preserve"> et des partenaires du projet pour assurer une analyse exhaustive.</w:t>
      </w:r>
    </w:p>
    <w:p w14:paraId="5C5ECFA8" w14:textId="754AC064" w:rsidR="00B67604" w:rsidRPr="00DE790F" w:rsidRDefault="00B67604" w:rsidP="00EC0B2D">
      <w:pPr>
        <w:numPr>
          <w:ilvl w:val="0"/>
          <w:numId w:val="33"/>
        </w:numPr>
        <w:tabs>
          <w:tab w:val="clear" w:pos="720"/>
          <w:tab w:val="num" w:pos="360"/>
        </w:tabs>
        <w:ind w:left="360"/>
        <w:jc w:val="both"/>
        <w:rPr>
          <w:rFonts w:cstheme="minorHAnsi"/>
          <w:color w:val="0D0D0D"/>
          <w:shd w:val="clear" w:color="auto" w:fill="FFFFFF"/>
        </w:rPr>
      </w:pPr>
      <w:r>
        <w:rPr>
          <w:b/>
          <w:bCs/>
          <w:color w:val="0D0D0D"/>
          <w:shd w:val="clear" w:color="auto" w:fill="FFFFFF"/>
        </w:rPr>
        <w:t>Clarté du langage :</w:t>
      </w:r>
      <w:r>
        <w:rPr>
          <w:color w:val="0D0D0D"/>
          <w:shd w:val="clear" w:color="auto" w:fill="FFFFFF"/>
        </w:rPr>
        <w:t xml:space="preserve"> Utilisez des termes simples et clairs tout au long de l</w:t>
      </w:r>
      <w:r w:rsidR="002929DD">
        <w:rPr>
          <w:color w:val="0D0D0D"/>
          <w:shd w:val="clear" w:color="auto" w:fill="FFFFFF"/>
        </w:rPr>
        <w:t>’</w:t>
      </w:r>
      <w:r>
        <w:rPr>
          <w:color w:val="0D0D0D"/>
          <w:shd w:val="clear" w:color="auto" w:fill="FFFFFF"/>
        </w:rPr>
        <w:t>évaluation des risques. Pour favoriser la compréhension de toutes les parties prenantes, évitez le jargon ou les termes inutilement techniques.</w:t>
      </w:r>
    </w:p>
    <w:p w14:paraId="1592D5C1" w14:textId="6B21CE33" w:rsidR="00B67604" w:rsidRPr="00DE790F" w:rsidRDefault="00B67604" w:rsidP="00EC0B2D">
      <w:pPr>
        <w:numPr>
          <w:ilvl w:val="0"/>
          <w:numId w:val="33"/>
        </w:numPr>
        <w:tabs>
          <w:tab w:val="clear" w:pos="720"/>
          <w:tab w:val="num" w:pos="360"/>
        </w:tabs>
        <w:ind w:left="360"/>
        <w:jc w:val="both"/>
        <w:rPr>
          <w:rFonts w:cstheme="minorHAnsi"/>
          <w:color w:val="0D0D0D"/>
          <w:shd w:val="clear" w:color="auto" w:fill="FFFFFF"/>
        </w:rPr>
      </w:pPr>
      <w:r>
        <w:rPr>
          <w:b/>
          <w:bCs/>
          <w:color w:val="0D0D0D"/>
          <w:shd w:val="clear" w:color="auto" w:fill="FFFFFF"/>
        </w:rPr>
        <w:t>Examen régulier :</w:t>
      </w:r>
      <w:r>
        <w:rPr>
          <w:color w:val="0D0D0D"/>
          <w:shd w:val="clear" w:color="auto" w:fill="FFFFFF"/>
        </w:rPr>
        <w:t xml:space="preserve"> Programmez des examens réguliers de l</w:t>
      </w:r>
      <w:r w:rsidR="002929DD">
        <w:rPr>
          <w:color w:val="0D0D0D"/>
          <w:shd w:val="clear" w:color="auto" w:fill="FFFFFF"/>
        </w:rPr>
        <w:t>’</w:t>
      </w:r>
      <w:r>
        <w:rPr>
          <w:color w:val="0D0D0D"/>
          <w:shd w:val="clear" w:color="auto" w:fill="FFFFFF"/>
        </w:rPr>
        <w:t>évaluation des risques afin de rendre compte de tout changement relatif aux conditions, à la portée ou aux facteurs externes du projet. Si nécessaire, mettez à jour l</w:t>
      </w:r>
      <w:r w:rsidR="002929DD">
        <w:rPr>
          <w:color w:val="0D0D0D"/>
          <w:shd w:val="clear" w:color="auto" w:fill="FFFFFF"/>
        </w:rPr>
        <w:t>’</w:t>
      </w:r>
      <w:r>
        <w:rPr>
          <w:color w:val="0D0D0D"/>
          <w:shd w:val="clear" w:color="auto" w:fill="FFFFFF"/>
        </w:rPr>
        <w:t>évaluation pour en maintenir la pertinence.</w:t>
      </w:r>
    </w:p>
    <w:p w14:paraId="682A40C0" w14:textId="47000556" w:rsidR="00B67604" w:rsidRPr="00DE790F" w:rsidRDefault="00B67604" w:rsidP="00EC0B2D">
      <w:pPr>
        <w:numPr>
          <w:ilvl w:val="0"/>
          <w:numId w:val="33"/>
        </w:numPr>
        <w:tabs>
          <w:tab w:val="clear" w:pos="720"/>
          <w:tab w:val="num" w:pos="360"/>
        </w:tabs>
        <w:ind w:left="360"/>
        <w:jc w:val="both"/>
        <w:rPr>
          <w:rFonts w:cstheme="minorHAnsi"/>
          <w:color w:val="0D0D0D"/>
          <w:shd w:val="clear" w:color="auto" w:fill="FFFFFF"/>
        </w:rPr>
      </w:pPr>
      <w:r>
        <w:rPr>
          <w:b/>
          <w:bCs/>
          <w:color w:val="0D0D0D"/>
          <w:shd w:val="clear" w:color="auto" w:fill="FFFFFF"/>
        </w:rPr>
        <w:t>Hiérarchisation des risques :</w:t>
      </w:r>
      <w:r>
        <w:rPr>
          <w:color w:val="0D0D0D"/>
          <w:shd w:val="clear" w:color="auto" w:fill="FFFFFF"/>
        </w:rPr>
        <w:t xml:space="preserve"> Hiérarchisez les risques en fonction de leur probabilité et de leurs conséquences. Concentrez-vous sur les risques prioritaires en adoptant des mesures d</w:t>
      </w:r>
      <w:r w:rsidR="002929DD">
        <w:rPr>
          <w:color w:val="0D0D0D"/>
          <w:shd w:val="clear" w:color="auto" w:fill="FFFFFF"/>
        </w:rPr>
        <w:t>’</w:t>
      </w:r>
      <w:r>
        <w:rPr>
          <w:color w:val="0D0D0D"/>
          <w:shd w:val="clear" w:color="auto" w:fill="FFFFFF"/>
        </w:rPr>
        <w:t>atténuation plus immédiates et efficaces.</w:t>
      </w:r>
    </w:p>
    <w:p w14:paraId="65E8C03E" w14:textId="730F3E35" w:rsidR="00B67604" w:rsidRPr="00B67604" w:rsidRDefault="00B67604" w:rsidP="379C0A37">
      <w:pPr>
        <w:numPr>
          <w:ilvl w:val="0"/>
          <w:numId w:val="33"/>
        </w:numPr>
        <w:tabs>
          <w:tab w:val="clear" w:pos="720"/>
          <w:tab w:val="num" w:pos="360"/>
        </w:tabs>
        <w:ind w:left="360"/>
        <w:jc w:val="both"/>
        <w:rPr>
          <w:color w:val="0D0D0D"/>
          <w:shd w:val="clear" w:color="auto" w:fill="FFFFFF"/>
        </w:rPr>
      </w:pPr>
      <w:r>
        <w:rPr>
          <w:b/>
          <w:bCs/>
          <w:color w:val="0D0D0D"/>
          <w:shd w:val="clear" w:color="auto" w:fill="FFFFFF"/>
        </w:rPr>
        <w:t>Documentation :</w:t>
      </w:r>
      <w:r>
        <w:rPr>
          <w:color w:val="0D0D0D"/>
          <w:shd w:val="clear" w:color="auto" w:fill="FFFFFF"/>
        </w:rPr>
        <w:t xml:space="preserve"> Conservez des informations détaillées sur l</w:t>
      </w:r>
      <w:r w:rsidR="002929DD">
        <w:rPr>
          <w:color w:val="0D0D0D"/>
          <w:shd w:val="clear" w:color="auto" w:fill="FFFFFF"/>
        </w:rPr>
        <w:t>’</w:t>
      </w:r>
      <w:r>
        <w:rPr>
          <w:color w:val="0D0D0D"/>
          <w:shd w:val="clear" w:color="auto" w:fill="FFFFFF"/>
        </w:rPr>
        <w:t xml:space="preserve">évaluation des risques, notamment les justifications portant sur les </w:t>
      </w:r>
      <w:r>
        <w:rPr>
          <w:color w:val="0D0D0D" w:themeColor="text1" w:themeTint="F2"/>
        </w:rPr>
        <w:t>niveaux de probabilité et de conséquences</w:t>
      </w:r>
      <w:r>
        <w:rPr>
          <w:color w:val="0D0D0D"/>
          <w:shd w:val="clear" w:color="auto" w:fill="FFFFFF"/>
        </w:rPr>
        <w:t>, ainsi que sur l</w:t>
      </w:r>
      <w:r w:rsidR="002929DD">
        <w:rPr>
          <w:color w:val="0D0D0D"/>
          <w:shd w:val="clear" w:color="auto" w:fill="FFFFFF"/>
        </w:rPr>
        <w:t>’</w:t>
      </w:r>
      <w:r>
        <w:rPr>
          <w:color w:val="0D0D0D"/>
          <w:shd w:val="clear" w:color="auto" w:fill="FFFFFF"/>
        </w:rPr>
        <w:t>efficacité des mesures d</w:t>
      </w:r>
      <w:r w:rsidR="002929DD">
        <w:rPr>
          <w:color w:val="0D0D0D"/>
          <w:shd w:val="clear" w:color="auto" w:fill="FFFFFF"/>
        </w:rPr>
        <w:t>’</w:t>
      </w:r>
      <w:r>
        <w:rPr>
          <w:color w:val="0D0D0D"/>
          <w:shd w:val="clear" w:color="auto" w:fill="FFFFFF"/>
        </w:rPr>
        <w:t>atténuation mises en œuvre.</w:t>
      </w:r>
    </w:p>
    <w:p w14:paraId="24810AAE" w14:textId="36427CD9" w:rsidR="003C1E82" w:rsidRPr="001856AB" w:rsidRDefault="00B67604" w:rsidP="00E274EE">
      <w:pPr>
        <w:numPr>
          <w:ilvl w:val="0"/>
          <w:numId w:val="33"/>
        </w:numPr>
        <w:tabs>
          <w:tab w:val="clear" w:pos="720"/>
          <w:tab w:val="num" w:pos="360"/>
        </w:tabs>
        <w:ind w:left="360"/>
        <w:jc w:val="both"/>
        <w:rPr>
          <w:rFonts w:cstheme="minorHAnsi"/>
          <w:color w:val="0D0D0D"/>
          <w:shd w:val="clear" w:color="auto" w:fill="FFFFFF"/>
        </w:rPr>
      </w:pPr>
      <w:r>
        <w:rPr>
          <w:b/>
          <w:bCs/>
          <w:color w:val="0D0D0D"/>
          <w:shd w:val="clear" w:color="auto" w:fill="FFFFFF"/>
        </w:rPr>
        <w:t>Communication :</w:t>
      </w:r>
      <w:r>
        <w:rPr>
          <w:color w:val="0D0D0D"/>
          <w:shd w:val="clear" w:color="auto" w:fill="FFFFFF"/>
        </w:rPr>
        <w:t xml:space="preserve"> Communiquez clairement les résultats de l</w:t>
      </w:r>
      <w:r w:rsidR="002929DD">
        <w:rPr>
          <w:color w:val="0D0D0D"/>
          <w:shd w:val="clear" w:color="auto" w:fill="FFFFFF"/>
        </w:rPr>
        <w:t>’</w:t>
      </w:r>
      <w:r>
        <w:rPr>
          <w:color w:val="0D0D0D"/>
          <w:shd w:val="clear" w:color="auto" w:fill="FFFFFF"/>
        </w:rPr>
        <w:t>évaluation des risques avec toutes les parties prenantes concernées. Veillez à ce que toutes les parties concernées soient informées des risques recensés et des personnes responsables des stratégies d</w:t>
      </w:r>
      <w:r w:rsidR="002929DD">
        <w:rPr>
          <w:color w:val="0D0D0D"/>
          <w:shd w:val="clear" w:color="auto" w:fill="FFFFFF"/>
        </w:rPr>
        <w:t>’</w:t>
      </w:r>
      <w:r>
        <w:rPr>
          <w:color w:val="0D0D0D"/>
          <w:shd w:val="clear" w:color="auto" w:fill="FFFFFF"/>
        </w:rPr>
        <w:t>atténuation correspondantes.</w:t>
      </w:r>
    </w:p>
    <w:sectPr w:rsidR="003C1E82" w:rsidRPr="001856AB" w:rsidSect="00AC134F">
      <w:footerReference w:type="default" r:id="rId10"/>
      <w:headerReference w:type="first" r:id="rId11"/>
      <w:footerReference w:type="first" r:id="rId12"/>
      <w:pgSz w:w="12240" w:h="15840"/>
      <w:pgMar w:top="900" w:right="1080" w:bottom="900" w:left="1080" w:header="729"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6E56" w14:textId="77777777" w:rsidR="000F4E2E" w:rsidRDefault="000F4E2E" w:rsidP="000D4C80">
      <w:pPr>
        <w:spacing w:after="0" w:line="240" w:lineRule="auto"/>
      </w:pPr>
      <w:r>
        <w:separator/>
      </w:r>
    </w:p>
  </w:endnote>
  <w:endnote w:type="continuationSeparator" w:id="0">
    <w:p w14:paraId="07AF6707" w14:textId="77777777" w:rsidR="000F4E2E" w:rsidRDefault="000F4E2E" w:rsidP="000D4C80">
      <w:pPr>
        <w:spacing w:after="0" w:line="240" w:lineRule="auto"/>
      </w:pPr>
      <w:r>
        <w:continuationSeparator/>
      </w:r>
    </w:p>
  </w:endnote>
  <w:endnote w:type="continuationNotice" w:id="1">
    <w:p w14:paraId="584F8782" w14:textId="77777777" w:rsidR="000F4E2E" w:rsidRDefault="000F4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198454"/>
      <w:docPartObj>
        <w:docPartGallery w:val="Page Numbers (Bottom of Page)"/>
        <w:docPartUnique/>
      </w:docPartObj>
    </w:sdtPr>
    <w:sdtEndPr/>
    <w:sdtContent>
      <w:sdt>
        <w:sdtPr>
          <w:id w:val="1728636285"/>
          <w:docPartObj>
            <w:docPartGallery w:val="Page Numbers (Top of Page)"/>
            <w:docPartUnique/>
          </w:docPartObj>
        </w:sdtPr>
        <w:sdtEndPr/>
        <w:sdtContent>
          <w:p w14:paraId="76E06B68" w14:textId="10260200" w:rsidR="00E64414" w:rsidRDefault="00E64414">
            <w:pPr>
              <w:pStyle w:val="Footer"/>
              <w:jc w:val="center"/>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sur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p w14:paraId="525DCD7F" w14:textId="77777777" w:rsidR="00E64414" w:rsidRDefault="00E6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424246"/>
      <w:docPartObj>
        <w:docPartGallery w:val="Page Numbers (Bottom of Page)"/>
        <w:docPartUnique/>
      </w:docPartObj>
    </w:sdtPr>
    <w:sdtEndPr/>
    <w:sdtContent>
      <w:sdt>
        <w:sdtPr>
          <w:id w:val="-785498506"/>
          <w:docPartObj>
            <w:docPartGallery w:val="Page Numbers (Top of Page)"/>
            <w:docPartUnique/>
          </w:docPartObj>
        </w:sdtPr>
        <w:sdtEndPr/>
        <w:sdtContent>
          <w:p w14:paraId="3D27EE37" w14:textId="47BFC9A7" w:rsidR="004F2D8F" w:rsidRDefault="004F2D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6574622D" w14:textId="77777777" w:rsidR="004F2D8F" w:rsidRDefault="004F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061E" w14:textId="77777777" w:rsidR="000F4E2E" w:rsidRDefault="000F4E2E" w:rsidP="000D4C80">
      <w:pPr>
        <w:spacing w:after="0" w:line="240" w:lineRule="auto"/>
      </w:pPr>
      <w:r>
        <w:separator/>
      </w:r>
    </w:p>
  </w:footnote>
  <w:footnote w:type="continuationSeparator" w:id="0">
    <w:p w14:paraId="2D2BFCEC" w14:textId="77777777" w:rsidR="000F4E2E" w:rsidRDefault="000F4E2E" w:rsidP="000D4C80">
      <w:pPr>
        <w:spacing w:after="0" w:line="240" w:lineRule="auto"/>
      </w:pPr>
      <w:r>
        <w:continuationSeparator/>
      </w:r>
    </w:p>
  </w:footnote>
  <w:footnote w:type="continuationNotice" w:id="1">
    <w:p w14:paraId="163AE909" w14:textId="77777777" w:rsidR="000F4E2E" w:rsidRDefault="000F4E2E">
      <w:pPr>
        <w:spacing w:after="0" w:line="240" w:lineRule="auto"/>
      </w:pPr>
    </w:p>
  </w:footnote>
  <w:footnote w:id="2">
    <w:p w14:paraId="383B319E" w14:textId="1AA0C7AD" w:rsidR="002C7CCF" w:rsidRDefault="379C0A37" w:rsidP="00F47556">
      <w:pPr>
        <w:pStyle w:val="FootnoteText"/>
      </w:pPr>
      <w:r>
        <w:rPr>
          <w:rStyle w:val="FootnoteReference"/>
        </w:rPr>
        <w:footnoteRef/>
      </w:r>
      <w:r w:rsidR="2890D612">
        <w:t xml:space="preserve">Les normes sociales impliquent notamment d'assurer qu'aucune action menée pendant la construction ne trouble l'harmonie sociale ou communale, ne menace les personnes ou les membres d’une communauté, ne cause de déplacement de communautés, en particulier des communautés autochtones, ni ne constitue une forme de menace aux populations vulnérables sur le site de construction choisi (notamment, sans s’y limiter, le déplacement de marchés/commerçants, etc.). </w:t>
      </w:r>
    </w:p>
    <w:p w14:paraId="21C238EF" w14:textId="6C4AD79A" w:rsidR="379C0A37" w:rsidRDefault="379C0A37" w:rsidP="00F47556">
      <w:pPr>
        <w:pStyle w:val="FootnoteText"/>
      </w:pPr>
      <w:r>
        <w:t>Les normes environnementales imposent qu’au cours de la construction, toutes les formes de dangers environnementaux soient délibérément minimisées et ne causent pas d'autre dégât ou dégradation environnementale pour les populations et les zones environnantes.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417D" w14:textId="5F551948" w:rsidR="00D00F7F" w:rsidRPr="001856AB" w:rsidRDefault="00D00F7F">
    <w:pPr>
      <w:pStyle w:val="Header"/>
      <w:rPr>
        <w:sz w:val="16"/>
        <w:szCs w:val="16"/>
      </w:rPr>
    </w:pPr>
    <w:r>
      <w:rPr>
        <w:rFonts w:ascii="Times New Roman"/>
        <w:noProof/>
        <w:color w:val="2B579A"/>
        <w:sz w:val="16"/>
        <w:szCs w:val="16"/>
        <w:shd w:val="clear" w:color="auto" w:fill="E6E6E6"/>
      </w:rPr>
      <w:drawing>
        <wp:anchor distT="0" distB="0" distL="114300" distR="114300" simplePos="0" relativeHeight="251658240" behindDoc="0" locked="0" layoutInCell="1" allowOverlap="1" wp14:anchorId="5EB7C1AF" wp14:editId="2BB569D6">
          <wp:simplePos x="0" y="0"/>
          <wp:positionH relativeFrom="page">
            <wp:posOffset>2360930</wp:posOffset>
          </wp:positionH>
          <wp:positionV relativeFrom="topMargin">
            <wp:posOffset>325456</wp:posOffset>
          </wp:positionV>
          <wp:extent cx="3051175" cy="689610"/>
          <wp:effectExtent l="0" t="0" r="0" b="0"/>
          <wp:wrapTopAndBottom/>
          <wp:docPr id="3" name="Picture 3"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6896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4CD"/>
    <w:multiLevelType w:val="hybridMultilevel"/>
    <w:tmpl w:val="0930E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99F"/>
    <w:multiLevelType w:val="hybridMultilevel"/>
    <w:tmpl w:val="E1B47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646C1"/>
    <w:multiLevelType w:val="multilevel"/>
    <w:tmpl w:val="3E38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61285"/>
    <w:multiLevelType w:val="multilevel"/>
    <w:tmpl w:val="3D9AC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E46DA"/>
    <w:multiLevelType w:val="hybridMultilevel"/>
    <w:tmpl w:val="C0D2F410"/>
    <w:lvl w:ilvl="0" w:tplc="6AB86D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F136A"/>
    <w:multiLevelType w:val="multilevel"/>
    <w:tmpl w:val="0660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B5DB4"/>
    <w:multiLevelType w:val="hybridMultilevel"/>
    <w:tmpl w:val="A39E4F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20335"/>
    <w:multiLevelType w:val="multilevel"/>
    <w:tmpl w:val="8A1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609C1"/>
    <w:multiLevelType w:val="multilevel"/>
    <w:tmpl w:val="D322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65CF9"/>
    <w:multiLevelType w:val="multilevel"/>
    <w:tmpl w:val="EF96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5D29A1"/>
    <w:multiLevelType w:val="multilevel"/>
    <w:tmpl w:val="5CE8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82F96"/>
    <w:multiLevelType w:val="hybridMultilevel"/>
    <w:tmpl w:val="14F67DA0"/>
    <w:lvl w:ilvl="0" w:tplc="F0AE0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A0151"/>
    <w:multiLevelType w:val="hybridMultilevel"/>
    <w:tmpl w:val="76AE660A"/>
    <w:lvl w:ilvl="0" w:tplc="558AF8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5A63"/>
    <w:multiLevelType w:val="hybridMultilevel"/>
    <w:tmpl w:val="C25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83C28"/>
    <w:multiLevelType w:val="hybridMultilevel"/>
    <w:tmpl w:val="61CC30C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D0943"/>
    <w:multiLevelType w:val="multilevel"/>
    <w:tmpl w:val="205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285EB8"/>
    <w:multiLevelType w:val="multilevel"/>
    <w:tmpl w:val="F80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E4EFB"/>
    <w:multiLevelType w:val="hybridMultilevel"/>
    <w:tmpl w:val="E68E8938"/>
    <w:lvl w:ilvl="0" w:tplc="A98A8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E05E0"/>
    <w:multiLevelType w:val="hybridMultilevel"/>
    <w:tmpl w:val="AAF03734"/>
    <w:lvl w:ilvl="0" w:tplc="F0AE0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85FE6"/>
    <w:multiLevelType w:val="hybridMultilevel"/>
    <w:tmpl w:val="7422CC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1D7155"/>
    <w:multiLevelType w:val="multilevel"/>
    <w:tmpl w:val="0F50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A03FC4"/>
    <w:multiLevelType w:val="hybridMultilevel"/>
    <w:tmpl w:val="0D42E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53367"/>
    <w:multiLevelType w:val="hybridMultilevel"/>
    <w:tmpl w:val="8CFE7472"/>
    <w:lvl w:ilvl="0" w:tplc="2828E96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F0698B"/>
    <w:multiLevelType w:val="hybridMultilevel"/>
    <w:tmpl w:val="7422CC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96D2478"/>
    <w:multiLevelType w:val="hybridMultilevel"/>
    <w:tmpl w:val="78F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64B74"/>
    <w:multiLevelType w:val="multilevel"/>
    <w:tmpl w:val="C7B8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013FE2"/>
    <w:multiLevelType w:val="multilevel"/>
    <w:tmpl w:val="F47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4D0D0A"/>
    <w:multiLevelType w:val="hybridMultilevel"/>
    <w:tmpl w:val="84949D5A"/>
    <w:lvl w:ilvl="0" w:tplc="5FA83BF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C3776"/>
    <w:multiLevelType w:val="multilevel"/>
    <w:tmpl w:val="CE22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D646E7"/>
    <w:multiLevelType w:val="hybridMultilevel"/>
    <w:tmpl w:val="3B90569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F259E8"/>
    <w:multiLevelType w:val="multilevel"/>
    <w:tmpl w:val="E1F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C24E7"/>
    <w:multiLevelType w:val="multilevel"/>
    <w:tmpl w:val="CC46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800DD7"/>
    <w:multiLevelType w:val="multilevel"/>
    <w:tmpl w:val="4D1E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94D85"/>
    <w:multiLevelType w:val="multilevel"/>
    <w:tmpl w:val="6F80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565652"/>
    <w:multiLevelType w:val="multilevel"/>
    <w:tmpl w:val="B89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420FF6"/>
    <w:multiLevelType w:val="hybridMultilevel"/>
    <w:tmpl w:val="F2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538638">
    <w:abstractNumId w:val="13"/>
  </w:num>
  <w:num w:numId="2" w16cid:durableId="170729356">
    <w:abstractNumId w:val="0"/>
  </w:num>
  <w:num w:numId="3" w16cid:durableId="397241816">
    <w:abstractNumId w:val="17"/>
  </w:num>
  <w:num w:numId="4" w16cid:durableId="2097433371">
    <w:abstractNumId w:val="35"/>
  </w:num>
  <w:num w:numId="5" w16cid:durableId="1271737717">
    <w:abstractNumId w:val="29"/>
  </w:num>
  <w:num w:numId="6" w16cid:durableId="1566840738">
    <w:abstractNumId w:val="24"/>
  </w:num>
  <w:num w:numId="7" w16cid:durableId="1789274467">
    <w:abstractNumId w:val="18"/>
  </w:num>
  <w:num w:numId="8" w16cid:durableId="307902378">
    <w:abstractNumId w:val="21"/>
  </w:num>
  <w:num w:numId="9" w16cid:durableId="371003016">
    <w:abstractNumId w:val="11"/>
  </w:num>
  <w:num w:numId="10" w16cid:durableId="142429333">
    <w:abstractNumId w:val="14"/>
  </w:num>
  <w:num w:numId="11" w16cid:durableId="934095305">
    <w:abstractNumId w:val="4"/>
  </w:num>
  <w:num w:numId="12" w16cid:durableId="1246723401">
    <w:abstractNumId w:val="12"/>
  </w:num>
  <w:num w:numId="13" w16cid:durableId="785077226">
    <w:abstractNumId w:val="1"/>
  </w:num>
  <w:num w:numId="14" w16cid:durableId="629868529">
    <w:abstractNumId w:val="22"/>
  </w:num>
  <w:num w:numId="15" w16cid:durableId="79908490">
    <w:abstractNumId w:val="6"/>
  </w:num>
  <w:num w:numId="16" w16cid:durableId="796266133">
    <w:abstractNumId w:val="9"/>
  </w:num>
  <w:num w:numId="17" w16cid:durableId="316963633">
    <w:abstractNumId w:val="8"/>
  </w:num>
  <w:num w:numId="18" w16cid:durableId="153953405">
    <w:abstractNumId w:val="30"/>
  </w:num>
  <w:num w:numId="19" w16cid:durableId="637417028">
    <w:abstractNumId w:val="32"/>
  </w:num>
  <w:num w:numId="20" w16cid:durableId="1128083293">
    <w:abstractNumId w:val="5"/>
  </w:num>
  <w:num w:numId="21" w16cid:durableId="1097868457">
    <w:abstractNumId w:val="20"/>
  </w:num>
  <w:num w:numId="22" w16cid:durableId="1809711683">
    <w:abstractNumId w:val="15"/>
  </w:num>
  <w:num w:numId="23" w16cid:durableId="1928343631">
    <w:abstractNumId w:val="31"/>
  </w:num>
  <w:num w:numId="24" w16cid:durableId="2076465599">
    <w:abstractNumId w:val="34"/>
  </w:num>
  <w:num w:numId="25" w16cid:durableId="752244343">
    <w:abstractNumId w:val="25"/>
  </w:num>
  <w:num w:numId="26" w16cid:durableId="944965092">
    <w:abstractNumId w:val="7"/>
  </w:num>
  <w:num w:numId="27" w16cid:durableId="398286379">
    <w:abstractNumId w:val="16"/>
  </w:num>
  <w:num w:numId="28" w16cid:durableId="1140994970">
    <w:abstractNumId w:val="28"/>
  </w:num>
  <w:num w:numId="29" w16cid:durableId="1804738264">
    <w:abstractNumId w:val="26"/>
  </w:num>
  <w:num w:numId="30" w16cid:durableId="348801596">
    <w:abstractNumId w:val="33"/>
  </w:num>
  <w:num w:numId="31" w16cid:durableId="1472822330">
    <w:abstractNumId w:val="10"/>
  </w:num>
  <w:num w:numId="32" w16cid:durableId="1459226917">
    <w:abstractNumId w:val="2"/>
  </w:num>
  <w:num w:numId="33" w16cid:durableId="1122462700">
    <w:abstractNumId w:val="3"/>
  </w:num>
  <w:num w:numId="34" w16cid:durableId="723333124">
    <w:abstractNumId w:val="19"/>
  </w:num>
  <w:num w:numId="35" w16cid:durableId="882670713">
    <w:abstractNumId w:val="23"/>
  </w:num>
  <w:num w:numId="36" w16cid:durableId="19491204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7"/>
    <w:rsid w:val="000114A7"/>
    <w:rsid w:val="000131E3"/>
    <w:rsid w:val="0001393F"/>
    <w:rsid w:val="000156D9"/>
    <w:rsid w:val="00017A71"/>
    <w:rsid w:val="00021CB4"/>
    <w:rsid w:val="000255D9"/>
    <w:rsid w:val="000257AE"/>
    <w:rsid w:val="0002613B"/>
    <w:rsid w:val="00026A7C"/>
    <w:rsid w:val="00027875"/>
    <w:rsid w:val="000319D6"/>
    <w:rsid w:val="00037EC0"/>
    <w:rsid w:val="00042ECE"/>
    <w:rsid w:val="00045A67"/>
    <w:rsid w:val="00047C88"/>
    <w:rsid w:val="00051D09"/>
    <w:rsid w:val="00052EDA"/>
    <w:rsid w:val="00054DBF"/>
    <w:rsid w:val="000560AF"/>
    <w:rsid w:val="00063AC5"/>
    <w:rsid w:val="000647A6"/>
    <w:rsid w:val="0006661A"/>
    <w:rsid w:val="00070464"/>
    <w:rsid w:val="00071C9C"/>
    <w:rsid w:val="00076B0E"/>
    <w:rsid w:val="00077843"/>
    <w:rsid w:val="0008004B"/>
    <w:rsid w:val="00082334"/>
    <w:rsid w:val="00082C85"/>
    <w:rsid w:val="0008577E"/>
    <w:rsid w:val="00093363"/>
    <w:rsid w:val="00093508"/>
    <w:rsid w:val="000A387F"/>
    <w:rsid w:val="000A42AC"/>
    <w:rsid w:val="000A679C"/>
    <w:rsid w:val="000A6855"/>
    <w:rsid w:val="000B020E"/>
    <w:rsid w:val="000B133C"/>
    <w:rsid w:val="000B4078"/>
    <w:rsid w:val="000C50AB"/>
    <w:rsid w:val="000D0F40"/>
    <w:rsid w:val="000D3FB0"/>
    <w:rsid w:val="000D4938"/>
    <w:rsid w:val="000D4C80"/>
    <w:rsid w:val="000E49E7"/>
    <w:rsid w:val="000E558C"/>
    <w:rsid w:val="000E6AC1"/>
    <w:rsid w:val="000F0588"/>
    <w:rsid w:val="000F198F"/>
    <w:rsid w:val="000F4E2E"/>
    <w:rsid w:val="000F7002"/>
    <w:rsid w:val="000F7566"/>
    <w:rsid w:val="00102CFC"/>
    <w:rsid w:val="001040E7"/>
    <w:rsid w:val="0010543A"/>
    <w:rsid w:val="00105947"/>
    <w:rsid w:val="00111187"/>
    <w:rsid w:val="00113D79"/>
    <w:rsid w:val="00131984"/>
    <w:rsid w:val="001372C3"/>
    <w:rsid w:val="001405FA"/>
    <w:rsid w:val="001426CD"/>
    <w:rsid w:val="00143433"/>
    <w:rsid w:val="00145097"/>
    <w:rsid w:val="00147387"/>
    <w:rsid w:val="00150A0F"/>
    <w:rsid w:val="00150D9B"/>
    <w:rsid w:val="00155024"/>
    <w:rsid w:val="001677F1"/>
    <w:rsid w:val="00167F11"/>
    <w:rsid w:val="001717DA"/>
    <w:rsid w:val="0017223A"/>
    <w:rsid w:val="00175C46"/>
    <w:rsid w:val="001807A6"/>
    <w:rsid w:val="00181686"/>
    <w:rsid w:val="00182F37"/>
    <w:rsid w:val="00183927"/>
    <w:rsid w:val="00183C45"/>
    <w:rsid w:val="001856AB"/>
    <w:rsid w:val="00191C48"/>
    <w:rsid w:val="00193AF1"/>
    <w:rsid w:val="00193DF7"/>
    <w:rsid w:val="001949EB"/>
    <w:rsid w:val="0019515D"/>
    <w:rsid w:val="001973F8"/>
    <w:rsid w:val="001A121C"/>
    <w:rsid w:val="001A6546"/>
    <w:rsid w:val="001A6E9E"/>
    <w:rsid w:val="001B007F"/>
    <w:rsid w:val="001B1A11"/>
    <w:rsid w:val="001B245E"/>
    <w:rsid w:val="001B462E"/>
    <w:rsid w:val="001C62B2"/>
    <w:rsid w:val="001C6A3C"/>
    <w:rsid w:val="001D2F4F"/>
    <w:rsid w:val="001D347E"/>
    <w:rsid w:val="001D6A9A"/>
    <w:rsid w:val="001D7447"/>
    <w:rsid w:val="001E3624"/>
    <w:rsid w:val="00200710"/>
    <w:rsid w:val="00207623"/>
    <w:rsid w:val="00210BB6"/>
    <w:rsid w:val="002126E6"/>
    <w:rsid w:val="00213F68"/>
    <w:rsid w:val="00216AA1"/>
    <w:rsid w:val="00224E65"/>
    <w:rsid w:val="00227446"/>
    <w:rsid w:val="0023138F"/>
    <w:rsid w:val="002322BA"/>
    <w:rsid w:val="002344B9"/>
    <w:rsid w:val="00234CCD"/>
    <w:rsid w:val="00235579"/>
    <w:rsid w:val="002365A3"/>
    <w:rsid w:val="00241BEE"/>
    <w:rsid w:val="00244F13"/>
    <w:rsid w:val="00244F1F"/>
    <w:rsid w:val="00250498"/>
    <w:rsid w:val="00250E67"/>
    <w:rsid w:val="002518B2"/>
    <w:rsid w:val="00252304"/>
    <w:rsid w:val="0025331D"/>
    <w:rsid w:val="002567BC"/>
    <w:rsid w:val="00261A7C"/>
    <w:rsid w:val="00262742"/>
    <w:rsid w:val="002639D9"/>
    <w:rsid w:val="00265C40"/>
    <w:rsid w:val="00266D04"/>
    <w:rsid w:val="00272EEE"/>
    <w:rsid w:val="00273F2D"/>
    <w:rsid w:val="00276FFD"/>
    <w:rsid w:val="0028307E"/>
    <w:rsid w:val="002844F0"/>
    <w:rsid w:val="00285EA5"/>
    <w:rsid w:val="00291D67"/>
    <w:rsid w:val="0029219B"/>
    <w:rsid w:val="002929DD"/>
    <w:rsid w:val="002938B9"/>
    <w:rsid w:val="00294DB1"/>
    <w:rsid w:val="00297179"/>
    <w:rsid w:val="002A0E17"/>
    <w:rsid w:val="002A10B4"/>
    <w:rsid w:val="002A138C"/>
    <w:rsid w:val="002A1F81"/>
    <w:rsid w:val="002A6606"/>
    <w:rsid w:val="002B0270"/>
    <w:rsid w:val="002B166C"/>
    <w:rsid w:val="002B295E"/>
    <w:rsid w:val="002B39E0"/>
    <w:rsid w:val="002B737A"/>
    <w:rsid w:val="002C253C"/>
    <w:rsid w:val="002C6D6C"/>
    <w:rsid w:val="002C7CCF"/>
    <w:rsid w:val="002D3A91"/>
    <w:rsid w:val="002D61D0"/>
    <w:rsid w:val="002D676E"/>
    <w:rsid w:val="002D72F0"/>
    <w:rsid w:val="002E15B5"/>
    <w:rsid w:val="002E2061"/>
    <w:rsid w:val="002E267D"/>
    <w:rsid w:val="002E2A8F"/>
    <w:rsid w:val="002F590C"/>
    <w:rsid w:val="002F6EAE"/>
    <w:rsid w:val="00302A4C"/>
    <w:rsid w:val="00304CDA"/>
    <w:rsid w:val="0030502C"/>
    <w:rsid w:val="00306870"/>
    <w:rsid w:val="00306B24"/>
    <w:rsid w:val="00306BA3"/>
    <w:rsid w:val="00310AEE"/>
    <w:rsid w:val="00311343"/>
    <w:rsid w:val="003113DD"/>
    <w:rsid w:val="00315A40"/>
    <w:rsid w:val="00323742"/>
    <w:rsid w:val="00324DD0"/>
    <w:rsid w:val="00325CA2"/>
    <w:rsid w:val="003331BD"/>
    <w:rsid w:val="003404E6"/>
    <w:rsid w:val="00341E02"/>
    <w:rsid w:val="00350918"/>
    <w:rsid w:val="003553CE"/>
    <w:rsid w:val="00357E4C"/>
    <w:rsid w:val="00366CE7"/>
    <w:rsid w:val="00367801"/>
    <w:rsid w:val="00372ABB"/>
    <w:rsid w:val="00373500"/>
    <w:rsid w:val="00375951"/>
    <w:rsid w:val="0037735F"/>
    <w:rsid w:val="00381DD3"/>
    <w:rsid w:val="003823EE"/>
    <w:rsid w:val="00383297"/>
    <w:rsid w:val="003874BC"/>
    <w:rsid w:val="00387949"/>
    <w:rsid w:val="00391922"/>
    <w:rsid w:val="00392771"/>
    <w:rsid w:val="003A04F7"/>
    <w:rsid w:val="003A0604"/>
    <w:rsid w:val="003A0FEC"/>
    <w:rsid w:val="003B28F5"/>
    <w:rsid w:val="003B5AD9"/>
    <w:rsid w:val="003C13EF"/>
    <w:rsid w:val="003C1E82"/>
    <w:rsid w:val="003C407D"/>
    <w:rsid w:val="003D10A7"/>
    <w:rsid w:val="003D6311"/>
    <w:rsid w:val="003E0CE9"/>
    <w:rsid w:val="003E60A4"/>
    <w:rsid w:val="00400E3C"/>
    <w:rsid w:val="00401ADE"/>
    <w:rsid w:val="00402EF8"/>
    <w:rsid w:val="00404C97"/>
    <w:rsid w:val="00410F53"/>
    <w:rsid w:val="0041301D"/>
    <w:rsid w:val="00413392"/>
    <w:rsid w:val="004140DF"/>
    <w:rsid w:val="00415DAD"/>
    <w:rsid w:val="004174EF"/>
    <w:rsid w:val="004220AA"/>
    <w:rsid w:val="004226D5"/>
    <w:rsid w:val="00426670"/>
    <w:rsid w:val="004371A6"/>
    <w:rsid w:val="00437994"/>
    <w:rsid w:val="00442CC0"/>
    <w:rsid w:val="004436FB"/>
    <w:rsid w:val="0045028E"/>
    <w:rsid w:val="00451D06"/>
    <w:rsid w:val="004572C4"/>
    <w:rsid w:val="0046228B"/>
    <w:rsid w:val="00467B65"/>
    <w:rsid w:val="0047234E"/>
    <w:rsid w:val="00475853"/>
    <w:rsid w:val="004807D5"/>
    <w:rsid w:val="00486B25"/>
    <w:rsid w:val="00490DC0"/>
    <w:rsid w:val="00497FC0"/>
    <w:rsid w:val="004A0812"/>
    <w:rsid w:val="004A0864"/>
    <w:rsid w:val="004A09C0"/>
    <w:rsid w:val="004A0D6B"/>
    <w:rsid w:val="004A2124"/>
    <w:rsid w:val="004A47EB"/>
    <w:rsid w:val="004A7532"/>
    <w:rsid w:val="004B3151"/>
    <w:rsid w:val="004B5BA0"/>
    <w:rsid w:val="004C02A7"/>
    <w:rsid w:val="004C1376"/>
    <w:rsid w:val="004C38F4"/>
    <w:rsid w:val="004C5665"/>
    <w:rsid w:val="004C6E36"/>
    <w:rsid w:val="004C6EF2"/>
    <w:rsid w:val="004C7149"/>
    <w:rsid w:val="004D2507"/>
    <w:rsid w:val="004D3770"/>
    <w:rsid w:val="004D74D4"/>
    <w:rsid w:val="004E181A"/>
    <w:rsid w:val="004E1F93"/>
    <w:rsid w:val="004E64D1"/>
    <w:rsid w:val="004E7308"/>
    <w:rsid w:val="004F13A2"/>
    <w:rsid w:val="004F25AA"/>
    <w:rsid w:val="004F2D8F"/>
    <w:rsid w:val="004F338F"/>
    <w:rsid w:val="004F35BE"/>
    <w:rsid w:val="00501352"/>
    <w:rsid w:val="0050267B"/>
    <w:rsid w:val="00505AD9"/>
    <w:rsid w:val="00505CC3"/>
    <w:rsid w:val="00510DCE"/>
    <w:rsid w:val="00511C66"/>
    <w:rsid w:val="00517F85"/>
    <w:rsid w:val="00524209"/>
    <w:rsid w:val="00524D98"/>
    <w:rsid w:val="00525E10"/>
    <w:rsid w:val="0053585A"/>
    <w:rsid w:val="00536B22"/>
    <w:rsid w:val="00540C19"/>
    <w:rsid w:val="00543A6D"/>
    <w:rsid w:val="005470CA"/>
    <w:rsid w:val="00551FA4"/>
    <w:rsid w:val="00560B0D"/>
    <w:rsid w:val="00563E5C"/>
    <w:rsid w:val="00575143"/>
    <w:rsid w:val="00576E85"/>
    <w:rsid w:val="005775B8"/>
    <w:rsid w:val="005800BC"/>
    <w:rsid w:val="00584A79"/>
    <w:rsid w:val="0058510F"/>
    <w:rsid w:val="00585D06"/>
    <w:rsid w:val="005861EE"/>
    <w:rsid w:val="00586F1B"/>
    <w:rsid w:val="00587F6E"/>
    <w:rsid w:val="005910A5"/>
    <w:rsid w:val="00596296"/>
    <w:rsid w:val="00597094"/>
    <w:rsid w:val="005A5613"/>
    <w:rsid w:val="005A66E3"/>
    <w:rsid w:val="005B6E0F"/>
    <w:rsid w:val="005C5930"/>
    <w:rsid w:val="005C5F32"/>
    <w:rsid w:val="005D0069"/>
    <w:rsid w:val="005D0AF6"/>
    <w:rsid w:val="005D1026"/>
    <w:rsid w:val="005D2A7A"/>
    <w:rsid w:val="005D3CDE"/>
    <w:rsid w:val="005D3E81"/>
    <w:rsid w:val="005D57AA"/>
    <w:rsid w:val="005D626C"/>
    <w:rsid w:val="005D680A"/>
    <w:rsid w:val="005E34CF"/>
    <w:rsid w:val="005E68AA"/>
    <w:rsid w:val="005E7B49"/>
    <w:rsid w:val="005F1B1F"/>
    <w:rsid w:val="005F4C1E"/>
    <w:rsid w:val="00601BDC"/>
    <w:rsid w:val="00603925"/>
    <w:rsid w:val="006064BF"/>
    <w:rsid w:val="00610F9D"/>
    <w:rsid w:val="00612003"/>
    <w:rsid w:val="00613B2F"/>
    <w:rsid w:val="006143D1"/>
    <w:rsid w:val="00615288"/>
    <w:rsid w:val="00623937"/>
    <w:rsid w:val="00627190"/>
    <w:rsid w:val="00634DF8"/>
    <w:rsid w:val="00636EEA"/>
    <w:rsid w:val="0064450B"/>
    <w:rsid w:val="00656441"/>
    <w:rsid w:val="0066130B"/>
    <w:rsid w:val="00664803"/>
    <w:rsid w:val="00667264"/>
    <w:rsid w:val="00667EB6"/>
    <w:rsid w:val="00670C8D"/>
    <w:rsid w:val="00673D1E"/>
    <w:rsid w:val="0067620F"/>
    <w:rsid w:val="00682635"/>
    <w:rsid w:val="0069105F"/>
    <w:rsid w:val="00694EE6"/>
    <w:rsid w:val="00696FC8"/>
    <w:rsid w:val="006A137A"/>
    <w:rsid w:val="006A16A9"/>
    <w:rsid w:val="006B0ED8"/>
    <w:rsid w:val="006B10A1"/>
    <w:rsid w:val="006B717A"/>
    <w:rsid w:val="006C0101"/>
    <w:rsid w:val="006C2C4B"/>
    <w:rsid w:val="006C3432"/>
    <w:rsid w:val="006C6B21"/>
    <w:rsid w:val="006C7C14"/>
    <w:rsid w:val="006D0E4A"/>
    <w:rsid w:val="006D68F7"/>
    <w:rsid w:val="006E2367"/>
    <w:rsid w:val="006E6ACB"/>
    <w:rsid w:val="006F0D01"/>
    <w:rsid w:val="006F15E9"/>
    <w:rsid w:val="006F2A12"/>
    <w:rsid w:val="006F2CF2"/>
    <w:rsid w:val="006F3E9A"/>
    <w:rsid w:val="006F4A83"/>
    <w:rsid w:val="006F4AD1"/>
    <w:rsid w:val="00705F90"/>
    <w:rsid w:val="007061E5"/>
    <w:rsid w:val="00707041"/>
    <w:rsid w:val="00707B0D"/>
    <w:rsid w:val="00710F32"/>
    <w:rsid w:val="007113FA"/>
    <w:rsid w:val="00713A5C"/>
    <w:rsid w:val="0071596F"/>
    <w:rsid w:val="00715B49"/>
    <w:rsid w:val="007160D3"/>
    <w:rsid w:val="00717A15"/>
    <w:rsid w:val="00720A3B"/>
    <w:rsid w:val="00722A4A"/>
    <w:rsid w:val="00723702"/>
    <w:rsid w:val="00725EA9"/>
    <w:rsid w:val="007260E3"/>
    <w:rsid w:val="007307DA"/>
    <w:rsid w:val="00734F4C"/>
    <w:rsid w:val="00740550"/>
    <w:rsid w:val="00744E37"/>
    <w:rsid w:val="00746D51"/>
    <w:rsid w:val="00750689"/>
    <w:rsid w:val="0075111B"/>
    <w:rsid w:val="00751AD9"/>
    <w:rsid w:val="00752BD6"/>
    <w:rsid w:val="00753AB3"/>
    <w:rsid w:val="00756E54"/>
    <w:rsid w:val="00762E57"/>
    <w:rsid w:val="00772D6B"/>
    <w:rsid w:val="00774530"/>
    <w:rsid w:val="0078222C"/>
    <w:rsid w:val="00782D0F"/>
    <w:rsid w:val="00783DA9"/>
    <w:rsid w:val="00793227"/>
    <w:rsid w:val="0079356F"/>
    <w:rsid w:val="00794341"/>
    <w:rsid w:val="007A58D2"/>
    <w:rsid w:val="007A740B"/>
    <w:rsid w:val="007B1BB2"/>
    <w:rsid w:val="007B7E1E"/>
    <w:rsid w:val="007C1180"/>
    <w:rsid w:val="007C14D6"/>
    <w:rsid w:val="007C1E2D"/>
    <w:rsid w:val="007C7B75"/>
    <w:rsid w:val="007C7F5F"/>
    <w:rsid w:val="007D34AC"/>
    <w:rsid w:val="007D7AE4"/>
    <w:rsid w:val="007E0CD3"/>
    <w:rsid w:val="007E2F33"/>
    <w:rsid w:val="007E6551"/>
    <w:rsid w:val="007E6BFC"/>
    <w:rsid w:val="007E6DC7"/>
    <w:rsid w:val="007F0322"/>
    <w:rsid w:val="007F193A"/>
    <w:rsid w:val="007F71F1"/>
    <w:rsid w:val="00803EE2"/>
    <w:rsid w:val="008040B7"/>
    <w:rsid w:val="00804E61"/>
    <w:rsid w:val="0080605F"/>
    <w:rsid w:val="00811E39"/>
    <w:rsid w:val="0081240D"/>
    <w:rsid w:val="008129C9"/>
    <w:rsid w:val="00812CDA"/>
    <w:rsid w:val="0081544A"/>
    <w:rsid w:val="008248E1"/>
    <w:rsid w:val="008263EA"/>
    <w:rsid w:val="008315A9"/>
    <w:rsid w:val="00831789"/>
    <w:rsid w:val="00831F2E"/>
    <w:rsid w:val="00832C8F"/>
    <w:rsid w:val="0083360C"/>
    <w:rsid w:val="008351D6"/>
    <w:rsid w:val="00842776"/>
    <w:rsid w:val="0084500A"/>
    <w:rsid w:val="008536C8"/>
    <w:rsid w:val="0085416F"/>
    <w:rsid w:val="0085481F"/>
    <w:rsid w:val="0085493D"/>
    <w:rsid w:val="008550DA"/>
    <w:rsid w:val="00860356"/>
    <w:rsid w:val="00862BC2"/>
    <w:rsid w:val="0086394B"/>
    <w:rsid w:val="00865B2C"/>
    <w:rsid w:val="00870A54"/>
    <w:rsid w:val="00874CDF"/>
    <w:rsid w:val="008817CA"/>
    <w:rsid w:val="00881CF4"/>
    <w:rsid w:val="00886830"/>
    <w:rsid w:val="008901EF"/>
    <w:rsid w:val="008927DE"/>
    <w:rsid w:val="0089291A"/>
    <w:rsid w:val="0089367E"/>
    <w:rsid w:val="00896CD5"/>
    <w:rsid w:val="0089760A"/>
    <w:rsid w:val="008B5915"/>
    <w:rsid w:val="008C08FF"/>
    <w:rsid w:val="008C0BD6"/>
    <w:rsid w:val="008C0FBF"/>
    <w:rsid w:val="008C4640"/>
    <w:rsid w:val="008C7A41"/>
    <w:rsid w:val="008D1C58"/>
    <w:rsid w:val="008D6177"/>
    <w:rsid w:val="008E04F5"/>
    <w:rsid w:val="008E2D53"/>
    <w:rsid w:val="008E53A4"/>
    <w:rsid w:val="008E62F2"/>
    <w:rsid w:val="008F3328"/>
    <w:rsid w:val="008F38E0"/>
    <w:rsid w:val="008F55E7"/>
    <w:rsid w:val="008F74D2"/>
    <w:rsid w:val="00904EAD"/>
    <w:rsid w:val="00911537"/>
    <w:rsid w:val="00912992"/>
    <w:rsid w:val="009230F9"/>
    <w:rsid w:val="00926F8D"/>
    <w:rsid w:val="0093468D"/>
    <w:rsid w:val="00934C8A"/>
    <w:rsid w:val="00937390"/>
    <w:rsid w:val="00937D57"/>
    <w:rsid w:val="0094028A"/>
    <w:rsid w:val="009412CD"/>
    <w:rsid w:val="00945567"/>
    <w:rsid w:val="009455D1"/>
    <w:rsid w:val="00952312"/>
    <w:rsid w:val="00952F49"/>
    <w:rsid w:val="009562FC"/>
    <w:rsid w:val="00960AF7"/>
    <w:rsid w:val="00970655"/>
    <w:rsid w:val="00971754"/>
    <w:rsid w:val="00972DD6"/>
    <w:rsid w:val="00975187"/>
    <w:rsid w:val="009775B7"/>
    <w:rsid w:val="009802DA"/>
    <w:rsid w:val="00981ADF"/>
    <w:rsid w:val="00982258"/>
    <w:rsid w:val="009846B9"/>
    <w:rsid w:val="00986495"/>
    <w:rsid w:val="009A1F5C"/>
    <w:rsid w:val="009A22D6"/>
    <w:rsid w:val="009B2F3B"/>
    <w:rsid w:val="009B387B"/>
    <w:rsid w:val="009B6ECF"/>
    <w:rsid w:val="009C183B"/>
    <w:rsid w:val="009C1B6E"/>
    <w:rsid w:val="009C2AA9"/>
    <w:rsid w:val="009C3B77"/>
    <w:rsid w:val="009C48BF"/>
    <w:rsid w:val="009C7981"/>
    <w:rsid w:val="009D0746"/>
    <w:rsid w:val="009D1B49"/>
    <w:rsid w:val="009D284D"/>
    <w:rsid w:val="009D62D4"/>
    <w:rsid w:val="009D6839"/>
    <w:rsid w:val="009E0589"/>
    <w:rsid w:val="009E4985"/>
    <w:rsid w:val="009F33AD"/>
    <w:rsid w:val="009F5ECA"/>
    <w:rsid w:val="00A002C8"/>
    <w:rsid w:val="00A06B4F"/>
    <w:rsid w:val="00A10E6B"/>
    <w:rsid w:val="00A128F6"/>
    <w:rsid w:val="00A13ADF"/>
    <w:rsid w:val="00A13F93"/>
    <w:rsid w:val="00A224AF"/>
    <w:rsid w:val="00A24F78"/>
    <w:rsid w:val="00A25A7B"/>
    <w:rsid w:val="00A26B2C"/>
    <w:rsid w:val="00A30932"/>
    <w:rsid w:val="00A36217"/>
    <w:rsid w:val="00A47ED8"/>
    <w:rsid w:val="00A50C17"/>
    <w:rsid w:val="00A51B69"/>
    <w:rsid w:val="00A55106"/>
    <w:rsid w:val="00A55FA3"/>
    <w:rsid w:val="00A62035"/>
    <w:rsid w:val="00A645CD"/>
    <w:rsid w:val="00A64D56"/>
    <w:rsid w:val="00A64EE9"/>
    <w:rsid w:val="00A674C1"/>
    <w:rsid w:val="00A71808"/>
    <w:rsid w:val="00A748EB"/>
    <w:rsid w:val="00A815A0"/>
    <w:rsid w:val="00A816C3"/>
    <w:rsid w:val="00A87C33"/>
    <w:rsid w:val="00A90656"/>
    <w:rsid w:val="00A9510E"/>
    <w:rsid w:val="00A9596D"/>
    <w:rsid w:val="00AA2AC9"/>
    <w:rsid w:val="00AA5456"/>
    <w:rsid w:val="00AA69D8"/>
    <w:rsid w:val="00AB2060"/>
    <w:rsid w:val="00AB290F"/>
    <w:rsid w:val="00AB3B7E"/>
    <w:rsid w:val="00AB5518"/>
    <w:rsid w:val="00AC134F"/>
    <w:rsid w:val="00AC6B09"/>
    <w:rsid w:val="00AC6D70"/>
    <w:rsid w:val="00AC7BE3"/>
    <w:rsid w:val="00AD161F"/>
    <w:rsid w:val="00AD693F"/>
    <w:rsid w:val="00AD7F5D"/>
    <w:rsid w:val="00AD7FBA"/>
    <w:rsid w:val="00AE146D"/>
    <w:rsid w:val="00AE4713"/>
    <w:rsid w:val="00AF1A32"/>
    <w:rsid w:val="00AF2B6F"/>
    <w:rsid w:val="00AF5103"/>
    <w:rsid w:val="00AF5581"/>
    <w:rsid w:val="00AF5C17"/>
    <w:rsid w:val="00B00129"/>
    <w:rsid w:val="00B00D13"/>
    <w:rsid w:val="00B0220B"/>
    <w:rsid w:val="00B07809"/>
    <w:rsid w:val="00B1139A"/>
    <w:rsid w:val="00B16C3C"/>
    <w:rsid w:val="00B17662"/>
    <w:rsid w:val="00B3240F"/>
    <w:rsid w:val="00B32F9A"/>
    <w:rsid w:val="00B3643E"/>
    <w:rsid w:val="00B41FCC"/>
    <w:rsid w:val="00B43820"/>
    <w:rsid w:val="00B51885"/>
    <w:rsid w:val="00B51AF2"/>
    <w:rsid w:val="00B562C8"/>
    <w:rsid w:val="00B65C34"/>
    <w:rsid w:val="00B67604"/>
    <w:rsid w:val="00B708AC"/>
    <w:rsid w:val="00B70B9F"/>
    <w:rsid w:val="00B76A02"/>
    <w:rsid w:val="00B802CD"/>
    <w:rsid w:val="00B80F56"/>
    <w:rsid w:val="00B8482F"/>
    <w:rsid w:val="00B8719F"/>
    <w:rsid w:val="00B917A4"/>
    <w:rsid w:val="00B94300"/>
    <w:rsid w:val="00BA1276"/>
    <w:rsid w:val="00BB0AC6"/>
    <w:rsid w:val="00BB41B8"/>
    <w:rsid w:val="00BB7857"/>
    <w:rsid w:val="00BC1A42"/>
    <w:rsid w:val="00BC2B3E"/>
    <w:rsid w:val="00BC62DA"/>
    <w:rsid w:val="00BE6570"/>
    <w:rsid w:val="00BF3594"/>
    <w:rsid w:val="00BF38A8"/>
    <w:rsid w:val="00BF6CCA"/>
    <w:rsid w:val="00BF6F0A"/>
    <w:rsid w:val="00C02AA7"/>
    <w:rsid w:val="00C0408C"/>
    <w:rsid w:val="00C048B3"/>
    <w:rsid w:val="00C12267"/>
    <w:rsid w:val="00C136A6"/>
    <w:rsid w:val="00C138A1"/>
    <w:rsid w:val="00C14FB2"/>
    <w:rsid w:val="00C22284"/>
    <w:rsid w:val="00C227E2"/>
    <w:rsid w:val="00C24EBB"/>
    <w:rsid w:val="00C2671C"/>
    <w:rsid w:val="00C27305"/>
    <w:rsid w:val="00C30BCE"/>
    <w:rsid w:val="00C360E3"/>
    <w:rsid w:val="00C42433"/>
    <w:rsid w:val="00C46E97"/>
    <w:rsid w:val="00C4770A"/>
    <w:rsid w:val="00C478DD"/>
    <w:rsid w:val="00C53FA9"/>
    <w:rsid w:val="00C576FC"/>
    <w:rsid w:val="00C57978"/>
    <w:rsid w:val="00C60727"/>
    <w:rsid w:val="00C625D4"/>
    <w:rsid w:val="00C632EF"/>
    <w:rsid w:val="00C652DA"/>
    <w:rsid w:val="00C66B5F"/>
    <w:rsid w:val="00C67C03"/>
    <w:rsid w:val="00C72889"/>
    <w:rsid w:val="00C72A21"/>
    <w:rsid w:val="00C72A55"/>
    <w:rsid w:val="00C758B0"/>
    <w:rsid w:val="00C80EF8"/>
    <w:rsid w:val="00C85298"/>
    <w:rsid w:val="00C85D74"/>
    <w:rsid w:val="00C907C8"/>
    <w:rsid w:val="00C92EA1"/>
    <w:rsid w:val="00C93423"/>
    <w:rsid w:val="00C958D8"/>
    <w:rsid w:val="00CA288B"/>
    <w:rsid w:val="00CB0BBB"/>
    <w:rsid w:val="00CB18D8"/>
    <w:rsid w:val="00CB2B61"/>
    <w:rsid w:val="00CC0C6E"/>
    <w:rsid w:val="00CC2254"/>
    <w:rsid w:val="00CC2E85"/>
    <w:rsid w:val="00CC3375"/>
    <w:rsid w:val="00CC44E0"/>
    <w:rsid w:val="00CC5D79"/>
    <w:rsid w:val="00CD0D82"/>
    <w:rsid w:val="00CE12F4"/>
    <w:rsid w:val="00CE2D25"/>
    <w:rsid w:val="00CE37BA"/>
    <w:rsid w:val="00CE5020"/>
    <w:rsid w:val="00CE5939"/>
    <w:rsid w:val="00CE6793"/>
    <w:rsid w:val="00CE7339"/>
    <w:rsid w:val="00CE79E6"/>
    <w:rsid w:val="00CF2A8C"/>
    <w:rsid w:val="00CF2C44"/>
    <w:rsid w:val="00D00F7F"/>
    <w:rsid w:val="00D02AA0"/>
    <w:rsid w:val="00D0315E"/>
    <w:rsid w:val="00D056DC"/>
    <w:rsid w:val="00D0674B"/>
    <w:rsid w:val="00D10143"/>
    <w:rsid w:val="00D10996"/>
    <w:rsid w:val="00D10DB6"/>
    <w:rsid w:val="00D15260"/>
    <w:rsid w:val="00D16139"/>
    <w:rsid w:val="00D16FB7"/>
    <w:rsid w:val="00D205DA"/>
    <w:rsid w:val="00D21445"/>
    <w:rsid w:val="00D2498A"/>
    <w:rsid w:val="00D276FC"/>
    <w:rsid w:val="00D30610"/>
    <w:rsid w:val="00D31096"/>
    <w:rsid w:val="00D32464"/>
    <w:rsid w:val="00D3329D"/>
    <w:rsid w:val="00D366B3"/>
    <w:rsid w:val="00D422D8"/>
    <w:rsid w:val="00D50B6A"/>
    <w:rsid w:val="00D50D62"/>
    <w:rsid w:val="00D571A3"/>
    <w:rsid w:val="00D57646"/>
    <w:rsid w:val="00D57C60"/>
    <w:rsid w:val="00D62811"/>
    <w:rsid w:val="00D66EC1"/>
    <w:rsid w:val="00D712A1"/>
    <w:rsid w:val="00D713CE"/>
    <w:rsid w:val="00D72DBE"/>
    <w:rsid w:val="00D73094"/>
    <w:rsid w:val="00D741AC"/>
    <w:rsid w:val="00D746FA"/>
    <w:rsid w:val="00D7707F"/>
    <w:rsid w:val="00D77D34"/>
    <w:rsid w:val="00D80BDA"/>
    <w:rsid w:val="00D83232"/>
    <w:rsid w:val="00D91B78"/>
    <w:rsid w:val="00DA186C"/>
    <w:rsid w:val="00DA33A0"/>
    <w:rsid w:val="00DA4275"/>
    <w:rsid w:val="00DA5985"/>
    <w:rsid w:val="00DB14BC"/>
    <w:rsid w:val="00DB4725"/>
    <w:rsid w:val="00DB496E"/>
    <w:rsid w:val="00DB74E4"/>
    <w:rsid w:val="00DC0331"/>
    <w:rsid w:val="00DC0422"/>
    <w:rsid w:val="00DC2F74"/>
    <w:rsid w:val="00DC4D72"/>
    <w:rsid w:val="00DD09EC"/>
    <w:rsid w:val="00DD298E"/>
    <w:rsid w:val="00DD4666"/>
    <w:rsid w:val="00DD68B1"/>
    <w:rsid w:val="00DE0159"/>
    <w:rsid w:val="00DE3EF1"/>
    <w:rsid w:val="00DE5A9E"/>
    <w:rsid w:val="00DE790F"/>
    <w:rsid w:val="00DF0588"/>
    <w:rsid w:val="00DF1942"/>
    <w:rsid w:val="00DF254E"/>
    <w:rsid w:val="00DF5983"/>
    <w:rsid w:val="00E01895"/>
    <w:rsid w:val="00E018A3"/>
    <w:rsid w:val="00E07984"/>
    <w:rsid w:val="00E146F4"/>
    <w:rsid w:val="00E14BFD"/>
    <w:rsid w:val="00E21C57"/>
    <w:rsid w:val="00E232D7"/>
    <w:rsid w:val="00E274EE"/>
    <w:rsid w:val="00E2799A"/>
    <w:rsid w:val="00E27C8C"/>
    <w:rsid w:val="00E3262A"/>
    <w:rsid w:val="00E32ADD"/>
    <w:rsid w:val="00E33C01"/>
    <w:rsid w:val="00E376C8"/>
    <w:rsid w:val="00E41138"/>
    <w:rsid w:val="00E41F07"/>
    <w:rsid w:val="00E52114"/>
    <w:rsid w:val="00E53BDB"/>
    <w:rsid w:val="00E547E6"/>
    <w:rsid w:val="00E55A5C"/>
    <w:rsid w:val="00E56A09"/>
    <w:rsid w:val="00E60A10"/>
    <w:rsid w:val="00E61463"/>
    <w:rsid w:val="00E61583"/>
    <w:rsid w:val="00E618A1"/>
    <w:rsid w:val="00E64414"/>
    <w:rsid w:val="00E67664"/>
    <w:rsid w:val="00E72007"/>
    <w:rsid w:val="00E725AD"/>
    <w:rsid w:val="00E7386A"/>
    <w:rsid w:val="00E74B6C"/>
    <w:rsid w:val="00E76B75"/>
    <w:rsid w:val="00E80958"/>
    <w:rsid w:val="00E82AF5"/>
    <w:rsid w:val="00E84F46"/>
    <w:rsid w:val="00E85E42"/>
    <w:rsid w:val="00E9152B"/>
    <w:rsid w:val="00E924FB"/>
    <w:rsid w:val="00E959AB"/>
    <w:rsid w:val="00E95B64"/>
    <w:rsid w:val="00E95BE6"/>
    <w:rsid w:val="00E968C2"/>
    <w:rsid w:val="00E974D9"/>
    <w:rsid w:val="00EA278A"/>
    <w:rsid w:val="00EA60CC"/>
    <w:rsid w:val="00EA7946"/>
    <w:rsid w:val="00EB2943"/>
    <w:rsid w:val="00EC0B2D"/>
    <w:rsid w:val="00EC0FE4"/>
    <w:rsid w:val="00EC12F8"/>
    <w:rsid w:val="00EC5B6C"/>
    <w:rsid w:val="00ED229B"/>
    <w:rsid w:val="00ED3F38"/>
    <w:rsid w:val="00ED7666"/>
    <w:rsid w:val="00EE2A85"/>
    <w:rsid w:val="00EE3D06"/>
    <w:rsid w:val="00EE74B8"/>
    <w:rsid w:val="00EF040E"/>
    <w:rsid w:val="00EF358D"/>
    <w:rsid w:val="00EF41E8"/>
    <w:rsid w:val="00F019A5"/>
    <w:rsid w:val="00F02EB7"/>
    <w:rsid w:val="00F11A0F"/>
    <w:rsid w:val="00F1309B"/>
    <w:rsid w:val="00F219C7"/>
    <w:rsid w:val="00F253E4"/>
    <w:rsid w:val="00F31F7A"/>
    <w:rsid w:val="00F37282"/>
    <w:rsid w:val="00F40C63"/>
    <w:rsid w:val="00F46278"/>
    <w:rsid w:val="00F47556"/>
    <w:rsid w:val="00F50F28"/>
    <w:rsid w:val="00F622BA"/>
    <w:rsid w:val="00F65320"/>
    <w:rsid w:val="00F67138"/>
    <w:rsid w:val="00F70A97"/>
    <w:rsid w:val="00F72C4D"/>
    <w:rsid w:val="00F7559C"/>
    <w:rsid w:val="00F76BC6"/>
    <w:rsid w:val="00F835FE"/>
    <w:rsid w:val="00F83DF0"/>
    <w:rsid w:val="00F87938"/>
    <w:rsid w:val="00F87F2B"/>
    <w:rsid w:val="00F95247"/>
    <w:rsid w:val="00FA31F7"/>
    <w:rsid w:val="00FA3C6D"/>
    <w:rsid w:val="00FA481F"/>
    <w:rsid w:val="00FA4923"/>
    <w:rsid w:val="00FA71BF"/>
    <w:rsid w:val="00FB1631"/>
    <w:rsid w:val="00FB2ABF"/>
    <w:rsid w:val="00FB3D5D"/>
    <w:rsid w:val="00FB65D2"/>
    <w:rsid w:val="00FB7B6B"/>
    <w:rsid w:val="00FC0AE3"/>
    <w:rsid w:val="00FC2DE9"/>
    <w:rsid w:val="00FC509C"/>
    <w:rsid w:val="00FC6672"/>
    <w:rsid w:val="00FC6F4A"/>
    <w:rsid w:val="00FC70F3"/>
    <w:rsid w:val="00FC7A01"/>
    <w:rsid w:val="00FD22BF"/>
    <w:rsid w:val="00FD3EAC"/>
    <w:rsid w:val="00FE02F8"/>
    <w:rsid w:val="00FE2F0B"/>
    <w:rsid w:val="00FE4514"/>
    <w:rsid w:val="00FF29F4"/>
    <w:rsid w:val="00FF665D"/>
    <w:rsid w:val="00FF77E0"/>
    <w:rsid w:val="00FF7970"/>
    <w:rsid w:val="019D2254"/>
    <w:rsid w:val="0440D237"/>
    <w:rsid w:val="04BA3378"/>
    <w:rsid w:val="056138FF"/>
    <w:rsid w:val="05E0D756"/>
    <w:rsid w:val="0782B058"/>
    <w:rsid w:val="0891F0AA"/>
    <w:rsid w:val="089AEBCF"/>
    <w:rsid w:val="0AF46117"/>
    <w:rsid w:val="0C262714"/>
    <w:rsid w:val="0CE3F5EA"/>
    <w:rsid w:val="0DA96110"/>
    <w:rsid w:val="0E5245D4"/>
    <w:rsid w:val="0E725C40"/>
    <w:rsid w:val="10AFA45C"/>
    <w:rsid w:val="113D6036"/>
    <w:rsid w:val="113F52F4"/>
    <w:rsid w:val="117F8E23"/>
    <w:rsid w:val="1289BA5C"/>
    <w:rsid w:val="12D635BF"/>
    <w:rsid w:val="1358C6E1"/>
    <w:rsid w:val="136A0866"/>
    <w:rsid w:val="1454C082"/>
    <w:rsid w:val="14FC7BA3"/>
    <w:rsid w:val="1512F34C"/>
    <w:rsid w:val="15E343EC"/>
    <w:rsid w:val="1734EBCD"/>
    <w:rsid w:val="177823E1"/>
    <w:rsid w:val="1A06A64E"/>
    <w:rsid w:val="1B250FA3"/>
    <w:rsid w:val="1B5E4A49"/>
    <w:rsid w:val="1BB39783"/>
    <w:rsid w:val="1C4E03EA"/>
    <w:rsid w:val="1CCD8ECA"/>
    <w:rsid w:val="1E587948"/>
    <w:rsid w:val="1E5CB065"/>
    <w:rsid w:val="2028994F"/>
    <w:rsid w:val="20DDFD3F"/>
    <w:rsid w:val="20E138F0"/>
    <w:rsid w:val="225E0AF5"/>
    <w:rsid w:val="232B9C09"/>
    <w:rsid w:val="24BF0FAC"/>
    <w:rsid w:val="259380A8"/>
    <w:rsid w:val="267277D7"/>
    <w:rsid w:val="26BFBA78"/>
    <w:rsid w:val="27891405"/>
    <w:rsid w:val="281D05A0"/>
    <w:rsid w:val="2890D612"/>
    <w:rsid w:val="292F5017"/>
    <w:rsid w:val="29BF9C1D"/>
    <w:rsid w:val="2A379526"/>
    <w:rsid w:val="2A954C98"/>
    <w:rsid w:val="2C94E94A"/>
    <w:rsid w:val="2DCCED5A"/>
    <w:rsid w:val="2F68BDBB"/>
    <w:rsid w:val="2FF47BF7"/>
    <w:rsid w:val="3061D6BF"/>
    <w:rsid w:val="32118977"/>
    <w:rsid w:val="328543B0"/>
    <w:rsid w:val="32F6CA85"/>
    <w:rsid w:val="3439CFE5"/>
    <w:rsid w:val="34819CF2"/>
    <w:rsid w:val="3530933F"/>
    <w:rsid w:val="355FC854"/>
    <w:rsid w:val="36F8FC7B"/>
    <w:rsid w:val="377C5E94"/>
    <w:rsid w:val="379C0A37"/>
    <w:rsid w:val="393559F3"/>
    <w:rsid w:val="39807585"/>
    <w:rsid w:val="3B759DE5"/>
    <w:rsid w:val="3BA2DEB4"/>
    <w:rsid w:val="3DA62C69"/>
    <w:rsid w:val="3F31AAE7"/>
    <w:rsid w:val="40DE8449"/>
    <w:rsid w:val="42152161"/>
    <w:rsid w:val="42E23086"/>
    <w:rsid w:val="452CED3E"/>
    <w:rsid w:val="4610431E"/>
    <w:rsid w:val="46BC53CD"/>
    <w:rsid w:val="47CEA441"/>
    <w:rsid w:val="4A005E61"/>
    <w:rsid w:val="4AAE32BC"/>
    <w:rsid w:val="4BA39653"/>
    <w:rsid w:val="4D174171"/>
    <w:rsid w:val="4E7E06DB"/>
    <w:rsid w:val="4F578A3F"/>
    <w:rsid w:val="4FD7A94F"/>
    <w:rsid w:val="51B924F4"/>
    <w:rsid w:val="51E502FF"/>
    <w:rsid w:val="52B8DEFF"/>
    <w:rsid w:val="5302DE98"/>
    <w:rsid w:val="54489B6B"/>
    <w:rsid w:val="547091EB"/>
    <w:rsid w:val="5514B63B"/>
    <w:rsid w:val="55885051"/>
    <w:rsid w:val="58A2F8E0"/>
    <w:rsid w:val="5C876FFA"/>
    <w:rsid w:val="5D704302"/>
    <w:rsid w:val="5D7F80B4"/>
    <w:rsid w:val="5E8B6249"/>
    <w:rsid w:val="64309A50"/>
    <w:rsid w:val="64EDD09C"/>
    <w:rsid w:val="65B8878B"/>
    <w:rsid w:val="6634468D"/>
    <w:rsid w:val="670581AD"/>
    <w:rsid w:val="67654D69"/>
    <w:rsid w:val="678A4EAC"/>
    <w:rsid w:val="68771B30"/>
    <w:rsid w:val="68E35C84"/>
    <w:rsid w:val="692CB343"/>
    <w:rsid w:val="6A12EB91"/>
    <w:rsid w:val="6BCD54AC"/>
    <w:rsid w:val="6C19FC62"/>
    <w:rsid w:val="6ED7625D"/>
    <w:rsid w:val="6FE29F34"/>
    <w:rsid w:val="700517A6"/>
    <w:rsid w:val="728092C6"/>
    <w:rsid w:val="72903840"/>
    <w:rsid w:val="735EA3E3"/>
    <w:rsid w:val="73647CB6"/>
    <w:rsid w:val="74078CAD"/>
    <w:rsid w:val="745394CB"/>
    <w:rsid w:val="752DD8C2"/>
    <w:rsid w:val="75AA74B8"/>
    <w:rsid w:val="7723EA67"/>
    <w:rsid w:val="7828435E"/>
    <w:rsid w:val="7855E6D9"/>
    <w:rsid w:val="789441B3"/>
    <w:rsid w:val="791EC5CF"/>
    <w:rsid w:val="7A0B2216"/>
    <w:rsid w:val="7A6F7DEA"/>
    <w:rsid w:val="7AB8273D"/>
    <w:rsid w:val="7D410D18"/>
    <w:rsid w:val="7EE0758D"/>
    <w:rsid w:val="7F82F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3BBC8"/>
  <w15:chartTrackingRefBased/>
  <w15:docId w15:val="{98E88ED9-1A88-4C01-9394-56FACA5C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37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4A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D67"/>
    <w:rPr>
      <w:color w:val="0563C1" w:themeColor="hyperlink"/>
      <w:u w:val="single"/>
    </w:rPr>
  </w:style>
  <w:style w:type="character" w:styleId="UnresolvedMention">
    <w:name w:val="Unresolved Mention"/>
    <w:basedOn w:val="DefaultParagraphFont"/>
    <w:uiPriority w:val="99"/>
    <w:unhideWhenUsed/>
    <w:rsid w:val="00291D67"/>
    <w:rPr>
      <w:color w:val="605E5C"/>
      <w:shd w:val="clear" w:color="auto" w:fill="E1DFDD"/>
    </w:rPr>
  </w:style>
  <w:style w:type="paragraph" w:styleId="ListParagraph">
    <w:name w:val="List Paragraph"/>
    <w:basedOn w:val="Normal"/>
    <w:uiPriority w:val="34"/>
    <w:qFormat/>
    <w:rsid w:val="00357E4C"/>
    <w:pPr>
      <w:ind w:left="720"/>
      <w:contextualSpacing/>
    </w:pPr>
  </w:style>
  <w:style w:type="character" w:customStyle="1" w:styleId="Heading3Char">
    <w:name w:val="Heading 3 Char"/>
    <w:basedOn w:val="DefaultParagraphFont"/>
    <w:link w:val="Heading3"/>
    <w:uiPriority w:val="9"/>
    <w:rsid w:val="0028307E"/>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28307E"/>
    <w:rPr>
      <w:i/>
      <w:iCs/>
      <w:color w:val="4472C4" w:themeColor="accent1"/>
    </w:rPr>
  </w:style>
  <w:style w:type="paragraph" w:styleId="FootnoteText">
    <w:name w:val="footnote text"/>
    <w:basedOn w:val="Normal"/>
    <w:link w:val="FootnoteTextChar"/>
    <w:uiPriority w:val="99"/>
    <w:rsid w:val="00E9152B"/>
    <w:pPr>
      <w:spacing w:after="0" w:line="240" w:lineRule="auto"/>
    </w:pPr>
    <w:rPr>
      <w:rFonts w:ascii="Calibri" w:eastAsia="MS Mincho" w:hAnsi="Calibri" w:cs="Times New Roman"/>
      <w:sz w:val="20"/>
      <w:szCs w:val="20"/>
      <w:lang w:eastAsia="en-GB"/>
    </w:rPr>
  </w:style>
  <w:style w:type="character" w:customStyle="1" w:styleId="FootnoteTextChar">
    <w:name w:val="Footnote Text Char"/>
    <w:basedOn w:val="DefaultParagraphFont"/>
    <w:link w:val="FootnoteText"/>
    <w:uiPriority w:val="99"/>
    <w:rsid w:val="00E9152B"/>
    <w:rPr>
      <w:rFonts w:ascii="Calibri" w:eastAsia="MS Mincho" w:hAnsi="Calibri" w:cs="Times New Roman"/>
      <w:sz w:val="20"/>
      <w:szCs w:val="20"/>
      <w:lang w:val="fr-FR" w:eastAsia="en-GB"/>
    </w:rPr>
  </w:style>
  <w:style w:type="character" w:styleId="FootnoteReference">
    <w:name w:val="footnote reference"/>
    <w:basedOn w:val="DefaultParagraphFont"/>
    <w:uiPriority w:val="99"/>
    <w:semiHidden/>
    <w:unhideWhenUsed/>
    <w:rsid w:val="000D4C80"/>
    <w:rPr>
      <w:vertAlign w:val="superscript"/>
    </w:rPr>
  </w:style>
  <w:style w:type="character" w:styleId="IntenseReference">
    <w:name w:val="Intense Reference"/>
    <w:basedOn w:val="DefaultParagraphFont"/>
    <w:uiPriority w:val="32"/>
    <w:qFormat/>
    <w:rsid w:val="00584A79"/>
    <w:rPr>
      <w:b/>
      <w:bCs/>
      <w:smallCaps/>
      <w:color w:val="4472C4" w:themeColor="accent1"/>
      <w:spacing w:val="5"/>
    </w:rPr>
  </w:style>
  <w:style w:type="character" w:customStyle="1" w:styleId="Heading4Char">
    <w:name w:val="Heading 4 Char"/>
    <w:basedOn w:val="DefaultParagraphFont"/>
    <w:link w:val="Heading4"/>
    <w:uiPriority w:val="9"/>
    <w:rsid w:val="00584A7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A5510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B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14"/>
  </w:style>
  <w:style w:type="paragraph" w:styleId="Footer">
    <w:name w:val="footer"/>
    <w:basedOn w:val="Normal"/>
    <w:link w:val="FooterChar"/>
    <w:uiPriority w:val="99"/>
    <w:unhideWhenUsed/>
    <w:rsid w:val="00E6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14"/>
  </w:style>
  <w:style w:type="paragraph" w:styleId="Caption">
    <w:name w:val="caption"/>
    <w:basedOn w:val="Normal"/>
    <w:next w:val="Normal"/>
    <w:uiPriority w:val="35"/>
    <w:unhideWhenUsed/>
    <w:qFormat/>
    <w:rsid w:val="000D0F40"/>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rsid w:val="00DD68B1"/>
    <w:pPr>
      <w:spacing w:line="240" w:lineRule="auto"/>
    </w:pPr>
    <w:rPr>
      <w:sz w:val="20"/>
      <w:szCs w:val="20"/>
    </w:rPr>
  </w:style>
  <w:style w:type="character" w:customStyle="1" w:styleId="CommentTextChar">
    <w:name w:val="Comment Text Char"/>
    <w:basedOn w:val="DefaultParagraphFont"/>
    <w:link w:val="CommentText"/>
    <w:uiPriority w:val="99"/>
    <w:rsid w:val="00DD68B1"/>
    <w:rPr>
      <w:sz w:val="20"/>
      <w:szCs w:val="20"/>
    </w:rPr>
  </w:style>
  <w:style w:type="character" w:styleId="CommentReference">
    <w:name w:val="annotation reference"/>
    <w:basedOn w:val="DefaultParagraphFont"/>
    <w:uiPriority w:val="99"/>
    <w:semiHidden/>
    <w:unhideWhenUsed/>
    <w:rsid w:val="00DD68B1"/>
    <w:rPr>
      <w:sz w:val="16"/>
      <w:szCs w:val="16"/>
    </w:rPr>
  </w:style>
  <w:style w:type="character" w:styleId="Mention">
    <w:name w:val="Mention"/>
    <w:basedOn w:val="DefaultParagraphFont"/>
    <w:uiPriority w:val="99"/>
    <w:unhideWhenUsed/>
    <w:rsid w:val="005D57A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93DF7"/>
    <w:rPr>
      <w:b/>
      <w:bCs/>
    </w:rPr>
  </w:style>
  <w:style w:type="character" w:customStyle="1" w:styleId="CommentSubjectChar">
    <w:name w:val="Comment Subject Char"/>
    <w:basedOn w:val="CommentTextChar"/>
    <w:link w:val="CommentSubject"/>
    <w:uiPriority w:val="99"/>
    <w:semiHidden/>
    <w:rsid w:val="00193DF7"/>
    <w:rPr>
      <w:b/>
      <w:bCs/>
      <w:sz w:val="20"/>
      <w:szCs w:val="20"/>
    </w:rPr>
  </w:style>
  <w:style w:type="paragraph" w:styleId="Revision">
    <w:name w:val="Revision"/>
    <w:hidden/>
    <w:uiPriority w:val="99"/>
    <w:semiHidden/>
    <w:rsid w:val="00093363"/>
    <w:pPr>
      <w:spacing w:after="0" w:line="240" w:lineRule="auto"/>
    </w:pPr>
  </w:style>
  <w:style w:type="character" w:styleId="FollowedHyperlink">
    <w:name w:val="FollowedHyperlink"/>
    <w:basedOn w:val="DefaultParagraphFont"/>
    <w:uiPriority w:val="99"/>
    <w:semiHidden/>
    <w:unhideWhenUsed/>
    <w:rsid w:val="001677F1"/>
    <w:rPr>
      <w:color w:val="954F72" w:themeColor="followedHyperlink"/>
      <w:u w:val="single"/>
    </w:rPr>
  </w:style>
  <w:style w:type="paragraph" w:styleId="NormalWeb">
    <w:name w:val="Normal (Web)"/>
    <w:basedOn w:val="Normal"/>
    <w:uiPriority w:val="99"/>
    <w:semiHidden/>
    <w:unhideWhenUsed/>
    <w:rsid w:val="00A55F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2370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10016">
      <w:bodyDiv w:val="1"/>
      <w:marLeft w:val="0"/>
      <w:marRight w:val="0"/>
      <w:marTop w:val="0"/>
      <w:marBottom w:val="0"/>
      <w:divBdr>
        <w:top w:val="none" w:sz="0" w:space="0" w:color="auto"/>
        <w:left w:val="none" w:sz="0" w:space="0" w:color="auto"/>
        <w:bottom w:val="none" w:sz="0" w:space="0" w:color="auto"/>
        <w:right w:val="none" w:sz="0" w:space="0" w:color="auto"/>
      </w:divBdr>
    </w:div>
    <w:div w:id="314184109">
      <w:bodyDiv w:val="1"/>
      <w:marLeft w:val="0"/>
      <w:marRight w:val="0"/>
      <w:marTop w:val="0"/>
      <w:marBottom w:val="0"/>
      <w:divBdr>
        <w:top w:val="none" w:sz="0" w:space="0" w:color="auto"/>
        <w:left w:val="none" w:sz="0" w:space="0" w:color="auto"/>
        <w:bottom w:val="none" w:sz="0" w:space="0" w:color="auto"/>
        <w:right w:val="none" w:sz="0" w:space="0" w:color="auto"/>
      </w:divBdr>
    </w:div>
    <w:div w:id="515193406">
      <w:bodyDiv w:val="1"/>
      <w:marLeft w:val="0"/>
      <w:marRight w:val="0"/>
      <w:marTop w:val="0"/>
      <w:marBottom w:val="0"/>
      <w:divBdr>
        <w:top w:val="none" w:sz="0" w:space="0" w:color="auto"/>
        <w:left w:val="none" w:sz="0" w:space="0" w:color="auto"/>
        <w:bottom w:val="none" w:sz="0" w:space="0" w:color="auto"/>
        <w:right w:val="none" w:sz="0" w:space="0" w:color="auto"/>
      </w:divBdr>
    </w:div>
    <w:div w:id="573587853">
      <w:bodyDiv w:val="1"/>
      <w:marLeft w:val="0"/>
      <w:marRight w:val="0"/>
      <w:marTop w:val="0"/>
      <w:marBottom w:val="0"/>
      <w:divBdr>
        <w:top w:val="none" w:sz="0" w:space="0" w:color="auto"/>
        <w:left w:val="none" w:sz="0" w:space="0" w:color="auto"/>
        <w:bottom w:val="none" w:sz="0" w:space="0" w:color="auto"/>
        <w:right w:val="none" w:sz="0" w:space="0" w:color="auto"/>
      </w:divBdr>
    </w:div>
    <w:div w:id="875461445">
      <w:bodyDiv w:val="1"/>
      <w:marLeft w:val="0"/>
      <w:marRight w:val="0"/>
      <w:marTop w:val="0"/>
      <w:marBottom w:val="0"/>
      <w:divBdr>
        <w:top w:val="none" w:sz="0" w:space="0" w:color="auto"/>
        <w:left w:val="none" w:sz="0" w:space="0" w:color="auto"/>
        <w:bottom w:val="none" w:sz="0" w:space="0" w:color="auto"/>
        <w:right w:val="none" w:sz="0" w:space="0" w:color="auto"/>
      </w:divBdr>
    </w:div>
    <w:div w:id="1247616238">
      <w:bodyDiv w:val="1"/>
      <w:marLeft w:val="0"/>
      <w:marRight w:val="0"/>
      <w:marTop w:val="0"/>
      <w:marBottom w:val="0"/>
      <w:divBdr>
        <w:top w:val="none" w:sz="0" w:space="0" w:color="auto"/>
        <w:left w:val="none" w:sz="0" w:space="0" w:color="auto"/>
        <w:bottom w:val="none" w:sz="0" w:space="0" w:color="auto"/>
        <w:right w:val="none" w:sz="0" w:space="0" w:color="auto"/>
      </w:divBdr>
    </w:div>
    <w:div w:id="167734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3" ma:contentTypeDescription="Create a new document." ma:contentTypeScope="" ma:versionID="cb90cacd1b7c6c9e5c6e2720d1967240">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42a2aa6400920918070af9ef410e8d5d"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D624E-C794-4E96-8E11-E6B3E32F405B}">
  <ds:schemaRefs>
    <ds:schemaRef ds:uri="http://schemas.openxmlformats.org/officeDocument/2006/bibliography"/>
  </ds:schemaRefs>
</ds:datastoreItem>
</file>

<file path=customXml/itemProps2.xml><?xml version="1.0" encoding="utf-8"?>
<ds:datastoreItem xmlns:ds="http://schemas.openxmlformats.org/officeDocument/2006/customXml" ds:itemID="{3EFFE586-A546-4AD1-934F-1BEFCCA203B0}">
  <ds:schemaRefs>
    <ds:schemaRef ds:uri="http://schemas.microsoft.com/sharepoint/v3/contenttype/forms"/>
  </ds:schemaRefs>
</ds:datastoreItem>
</file>

<file path=customXml/itemProps3.xml><?xml version="1.0" encoding="utf-8"?>
<ds:datastoreItem xmlns:ds="http://schemas.openxmlformats.org/officeDocument/2006/customXml" ds:itemID="{E8A01E14-FC15-43B7-BEDD-9C0E6512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7186</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dc:description/>
  <cp:lastModifiedBy>Suparva Narasimhaiah</cp:lastModifiedBy>
  <cp:revision>5</cp:revision>
  <cp:lastPrinted>2023-04-12T21:24:00Z</cp:lastPrinted>
  <dcterms:created xsi:type="dcterms:W3CDTF">2024-03-25T13:59:00Z</dcterms:created>
  <dcterms:modified xsi:type="dcterms:W3CDTF">2024-04-18T20:18:00Z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1806b3902d834537b05822a07a91e149e94896ba0f0e7817d31ef6a7c1758eca</vt:lpwstr>
  </property>
</Properties>
</file>